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4AD8" w:rsidRDefault="00994AD8" w:rsidP="00994AD8">
      <w:pPr>
        <w:pStyle w:val="Normlnweb"/>
        <w:jc w:val="center"/>
        <w:rPr>
          <w:rFonts w:ascii="Calibri" w:hAnsi="Calibri" w:cs="Calibri"/>
          <w:b/>
          <w:bCs/>
          <w:sz w:val="20"/>
          <w:szCs w:val="20"/>
        </w:rPr>
      </w:pPr>
      <w:r>
        <w:rPr>
          <w:rFonts w:ascii="Calibri" w:hAnsi="Calibri" w:cs="Calibri"/>
          <w:b/>
          <w:bCs/>
          <w:sz w:val="20"/>
          <w:szCs w:val="20"/>
        </w:rPr>
        <w:t xml:space="preserve">FINECARE </w:t>
      </w:r>
      <w:r w:rsidR="00D95BFE">
        <w:rPr>
          <w:rFonts w:ascii="Calibri" w:hAnsi="Calibri" w:cs="Calibri"/>
          <w:b/>
          <w:bCs/>
          <w:sz w:val="20"/>
          <w:szCs w:val="20"/>
        </w:rPr>
        <w:t>TSH</w:t>
      </w:r>
      <w:r>
        <w:rPr>
          <w:rFonts w:ascii="Calibri" w:hAnsi="Calibri" w:cs="Calibri"/>
          <w:b/>
          <w:bCs/>
          <w:sz w:val="20"/>
          <w:szCs w:val="20"/>
        </w:rPr>
        <w:t xml:space="preserve"> (</w:t>
      </w:r>
      <w:r w:rsidR="00D95BFE">
        <w:rPr>
          <w:rFonts w:ascii="Calibri" w:hAnsi="Calibri" w:cs="Calibri"/>
          <w:b/>
          <w:bCs/>
          <w:sz w:val="20"/>
          <w:szCs w:val="20"/>
        </w:rPr>
        <w:t>TSH</w:t>
      </w:r>
      <w:r>
        <w:rPr>
          <w:rFonts w:ascii="Calibri" w:hAnsi="Calibri" w:cs="Calibri"/>
          <w:b/>
          <w:bCs/>
          <w:sz w:val="20"/>
          <w:szCs w:val="20"/>
        </w:rPr>
        <w:t xml:space="preserve"> RAPID QUANTITATIVE TEST</w:t>
      </w:r>
      <w:r w:rsidR="00485D86">
        <w:rPr>
          <w:rFonts w:ascii="Calibri" w:hAnsi="Calibri" w:cs="Calibri"/>
          <w:b/>
          <w:bCs/>
          <w:sz w:val="20"/>
          <w:szCs w:val="20"/>
        </w:rPr>
        <w:t>)</w:t>
      </w:r>
    </w:p>
    <w:p w:rsidR="00994AD8" w:rsidRDefault="00994AD8" w:rsidP="00994AD8">
      <w:pPr>
        <w:pStyle w:val="Normlnweb"/>
        <w:jc w:val="center"/>
        <w:rPr>
          <w:rFonts w:ascii="Calibri" w:hAnsi="Calibri" w:cs="Calibri"/>
          <w:b/>
          <w:bCs/>
          <w:sz w:val="20"/>
          <w:szCs w:val="20"/>
        </w:rPr>
      </w:pPr>
      <w:proofErr w:type="spellStart"/>
      <w:r>
        <w:rPr>
          <w:rFonts w:ascii="Calibri" w:hAnsi="Calibri" w:cs="Calibri"/>
          <w:b/>
          <w:bCs/>
          <w:sz w:val="20"/>
          <w:szCs w:val="20"/>
        </w:rPr>
        <w:t>Finecare</w:t>
      </w:r>
      <w:proofErr w:type="spellEnd"/>
      <w:r>
        <w:rPr>
          <w:rFonts w:ascii="Calibri" w:hAnsi="Calibri" w:cs="Calibri"/>
          <w:b/>
          <w:bCs/>
          <w:sz w:val="20"/>
          <w:szCs w:val="20"/>
        </w:rPr>
        <w:t xml:space="preserve"> </w:t>
      </w:r>
      <w:r w:rsidR="00D95BFE">
        <w:rPr>
          <w:rFonts w:ascii="Calibri" w:hAnsi="Calibri" w:cs="Calibri"/>
          <w:b/>
          <w:bCs/>
          <w:sz w:val="20"/>
          <w:szCs w:val="20"/>
        </w:rPr>
        <w:t>TSH</w:t>
      </w:r>
      <w:r>
        <w:rPr>
          <w:rFonts w:ascii="Calibri" w:hAnsi="Calibri" w:cs="Calibri"/>
          <w:b/>
          <w:bCs/>
          <w:sz w:val="20"/>
          <w:szCs w:val="20"/>
        </w:rPr>
        <w:t xml:space="preserve"> </w:t>
      </w:r>
      <w:proofErr w:type="spellStart"/>
      <w:r>
        <w:rPr>
          <w:rFonts w:ascii="Calibri" w:hAnsi="Calibri" w:cs="Calibri"/>
          <w:b/>
          <w:bCs/>
          <w:sz w:val="20"/>
          <w:szCs w:val="20"/>
        </w:rPr>
        <w:t>rychly</w:t>
      </w:r>
      <w:proofErr w:type="spellEnd"/>
      <w:r>
        <w:rPr>
          <w:rFonts w:ascii="Calibri" w:hAnsi="Calibri" w:cs="Calibri"/>
          <w:b/>
          <w:bCs/>
          <w:sz w:val="20"/>
          <w:szCs w:val="20"/>
        </w:rPr>
        <w:t xml:space="preserve">́ </w:t>
      </w:r>
      <w:proofErr w:type="spellStart"/>
      <w:r>
        <w:rPr>
          <w:rFonts w:ascii="Calibri" w:hAnsi="Calibri" w:cs="Calibri"/>
          <w:b/>
          <w:bCs/>
          <w:sz w:val="20"/>
          <w:szCs w:val="20"/>
        </w:rPr>
        <w:t>kvantitativni</w:t>
      </w:r>
      <w:proofErr w:type="spellEnd"/>
      <w:r>
        <w:rPr>
          <w:rFonts w:ascii="Calibri" w:hAnsi="Calibri" w:cs="Calibri"/>
          <w:b/>
          <w:bCs/>
          <w:sz w:val="20"/>
          <w:szCs w:val="20"/>
        </w:rPr>
        <w:t>́ test</w:t>
      </w:r>
    </w:p>
    <w:p w:rsidR="00994AD8" w:rsidRDefault="00994AD8" w:rsidP="00994AD8">
      <w:pPr>
        <w:pStyle w:val="Normlnweb"/>
        <w:rPr>
          <w:rFonts w:ascii="Calibri" w:hAnsi="Calibri" w:cs="Calibri"/>
          <w:b/>
          <w:bCs/>
          <w:sz w:val="20"/>
          <w:szCs w:val="20"/>
        </w:rPr>
      </w:pPr>
      <w:r>
        <w:rPr>
          <w:rFonts w:ascii="Calibri" w:hAnsi="Calibri" w:cs="Calibri"/>
          <w:b/>
          <w:bCs/>
          <w:sz w:val="20"/>
          <w:szCs w:val="20"/>
        </w:rPr>
        <w:t>Použití</w:t>
      </w:r>
    </w:p>
    <w:p w:rsidR="00994AD8" w:rsidRDefault="00D95BFE" w:rsidP="00994AD8">
      <w:pPr>
        <w:pStyle w:val="Normlnweb"/>
        <w:rPr>
          <w:rFonts w:ascii="Calibri" w:hAnsi="Calibri" w:cs="Calibri"/>
          <w:sz w:val="20"/>
          <w:szCs w:val="20"/>
        </w:rPr>
      </w:pPr>
      <w:r w:rsidRPr="00D95BFE">
        <w:rPr>
          <w:rFonts w:ascii="Calibri" w:hAnsi="Calibri" w:cs="Calibri"/>
          <w:sz w:val="20"/>
          <w:szCs w:val="20"/>
        </w:rPr>
        <w:t xml:space="preserve">Rychlý kvantitativní test </w:t>
      </w:r>
      <w:proofErr w:type="spellStart"/>
      <w:r w:rsidRPr="00D95BFE">
        <w:rPr>
          <w:rFonts w:ascii="Calibri" w:hAnsi="Calibri" w:cs="Calibri"/>
          <w:sz w:val="20"/>
          <w:szCs w:val="20"/>
        </w:rPr>
        <w:t>FinecareTM</w:t>
      </w:r>
      <w:proofErr w:type="spellEnd"/>
      <w:r w:rsidRPr="00D95BFE">
        <w:rPr>
          <w:rFonts w:ascii="Calibri" w:hAnsi="Calibri" w:cs="Calibri"/>
          <w:sz w:val="20"/>
          <w:szCs w:val="20"/>
        </w:rPr>
        <w:t xml:space="preserve"> TSH (hormon stimulující štítnou žlázu) spolu s</w:t>
      </w:r>
      <w:r>
        <w:rPr>
          <w:rFonts w:ascii="Calibri" w:hAnsi="Calibri" w:cs="Calibri"/>
          <w:sz w:val="20"/>
          <w:szCs w:val="20"/>
        </w:rPr>
        <w:t xml:space="preserve">e zařízením </w:t>
      </w:r>
      <w:proofErr w:type="spellStart"/>
      <w:r w:rsidRPr="00D95BFE">
        <w:rPr>
          <w:rFonts w:ascii="Calibri" w:hAnsi="Calibri" w:cs="Calibri"/>
          <w:sz w:val="20"/>
          <w:szCs w:val="20"/>
        </w:rPr>
        <w:t>FinecareTM</w:t>
      </w:r>
      <w:proofErr w:type="spellEnd"/>
      <w:r w:rsidRPr="00D95BFE">
        <w:rPr>
          <w:rFonts w:ascii="Calibri" w:hAnsi="Calibri" w:cs="Calibri"/>
          <w:sz w:val="20"/>
          <w:szCs w:val="20"/>
        </w:rPr>
        <w:t xml:space="preserve"> FIA je fluorescenční </w:t>
      </w:r>
      <w:proofErr w:type="spellStart"/>
      <w:r w:rsidRPr="00D95BFE">
        <w:rPr>
          <w:rFonts w:ascii="Calibri" w:hAnsi="Calibri" w:cs="Calibri"/>
          <w:sz w:val="20"/>
          <w:szCs w:val="20"/>
        </w:rPr>
        <w:t>imunotest</w:t>
      </w:r>
      <w:proofErr w:type="spellEnd"/>
      <w:r w:rsidRPr="00D95BFE">
        <w:rPr>
          <w:rFonts w:ascii="Calibri" w:hAnsi="Calibri" w:cs="Calibri"/>
          <w:sz w:val="20"/>
          <w:szCs w:val="20"/>
        </w:rPr>
        <w:t xml:space="preserve"> pro kvantitativní měření hormonu stimulujícího štítnou žlázu (TSH) v lidské krvi, séru nebo plazmě. Test se používá jako pomůcka při funkční diagnostice štítné žlázy.</w:t>
      </w:r>
      <w:r w:rsidRPr="00D95BFE">
        <w:rPr>
          <w:rFonts w:ascii="Calibri" w:hAnsi="Calibri" w:cs="Calibri"/>
          <w:sz w:val="20"/>
          <w:szCs w:val="20"/>
        </w:rPr>
        <w:t xml:space="preserve"> </w:t>
      </w:r>
      <w:r w:rsidR="00994AD8" w:rsidRPr="00994AD8">
        <w:rPr>
          <w:rFonts w:ascii="Calibri" w:hAnsi="Calibri" w:cs="Calibri"/>
          <w:sz w:val="20"/>
          <w:szCs w:val="20"/>
        </w:rPr>
        <w:t>Pouze pro diagnostické použití in vitro. Pouze pro profesionální použití.</w:t>
      </w:r>
    </w:p>
    <w:p w:rsidR="00994AD8" w:rsidRPr="00050B33" w:rsidRDefault="00994AD8" w:rsidP="00994AD8">
      <w:pPr>
        <w:pStyle w:val="Normlnweb"/>
        <w:rPr>
          <w:rFonts w:ascii="Calibri" w:hAnsi="Calibri" w:cs="Calibri"/>
          <w:b/>
          <w:bCs/>
          <w:sz w:val="20"/>
          <w:szCs w:val="20"/>
        </w:rPr>
      </w:pPr>
      <w:r w:rsidRPr="00050B33">
        <w:rPr>
          <w:rFonts w:ascii="Calibri" w:hAnsi="Calibri" w:cs="Calibri"/>
          <w:b/>
          <w:bCs/>
          <w:sz w:val="20"/>
          <w:szCs w:val="20"/>
        </w:rPr>
        <w:t>Souhrn</w:t>
      </w:r>
    </w:p>
    <w:p w:rsidR="00D95BFE" w:rsidRDefault="00D95BFE" w:rsidP="00994AD8">
      <w:pPr>
        <w:pStyle w:val="Normlnweb"/>
        <w:rPr>
          <w:rFonts w:ascii="Calibri" w:hAnsi="Calibri" w:cs="Calibri"/>
          <w:sz w:val="20"/>
          <w:szCs w:val="20"/>
        </w:rPr>
      </w:pPr>
      <w:r w:rsidRPr="00D95BFE">
        <w:rPr>
          <w:rFonts w:ascii="Calibri" w:hAnsi="Calibri" w:cs="Calibri"/>
          <w:sz w:val="20"/>
          <w:szCs w:val="20"/>
        </w:rPr>
        <w:t xml:space="preserve">Stanovení sérových nebo plazmatických hladin hormonu stimulujícího štítnou žlázu (TSH nebo </w:t>
      </w:r>
      <w:proofErr w:type="spellStart"/>
      <w:r w:rsidRPr="00D95BFE">
        <w:rPr>
          <w:rFonts w:ascii="Calibri" w:hAnsi="Calibri" w:cs="Calibri"/>
          <w:sz w:val="20"/>
          <w:szCs w:val="20"/>
        </w:rPr>
        <w:t>thyrotropin</w:t>
      </w:r>
      <w:proofErr w:type="spellEnd"/>
      <w:r w:rsidRPr="00D95BFE">
        <w:rPr>
          <w:rFonts w:ascii="Calibri" w:hAnsi="Calibri" w:cs="Calibri"/>
          <w:sz w:val="20"/>
          <w:szCs w:val="20"/>
        </w:rPr>
        <w:t xml:space="preserve">) je považováno za důležité </w:t>
      </w:r>
      <w:r>
        <w:rPr>
          <w:rFonts w:ascii="Calibri" w:hAnsi="Calibri" w:cs="Calibri"/>
          <w:sz w:val="20"/>
          <w:szCs w:val="20"/>
        </w:rPr>
        <w:t>vyšetření</w:t>
      </w:r>
      <w:r w:rsidRPr="00D95BFE">
        <w:rPr>
          <w:rFonts w:ascii="Calibri" w:hAnsi="Calibri" w:cs="Calibri"/>
          <w:sz w:val="20"/>
          <w:szCs w:val="20"/>
        </w:rPr>
        <w:t xml:space="preserve"> při hodnocení funkce štítné žlázy. Hormony stimulující štítnou žlázu se vylučují předním lalokem hypofýzy a indukují produkci a uvolňování tyroxinu (T4) a </w:t>
      </w:r>
      <w:proofErr w:type="spellStart"/>
      <w:r w:rsidRPr="00D95BFE">
        <w:rPr>
          <w:rFonts w:ascii="Calibri" w:hAnsi="Calibri" w:cs="Calibri"/>
          <w:sz w:val="20"/>
          <w:szCs w:val="20"/>
        </w:rPr>
        <w:t>triiodothyroninu</w:t>
      </w:r>
      <w:proofErr w:type="spellEnd"/>
      <w:r w:rsidRPr="00D95BFE">
        <w:rPr>
          <w:rFonts w:ascii="Calibri" w:hAnsi="Calibri" w:cs="Calibri"/>
          <w:sz w:val="20"/>
          <w:szCs w:val="20"/>
        </w:rPr>
        <w:t xml:space="preserve"> (T3) z štítné žlázy.</w:t>
      </w:r>
      <w:r w:rsidRPr="00D95BFE">
        <w:rPr>
          <w:rFonts w:ascii="Calibri" w:hAnsi="Calibri" w:cs="Calibri"/>
          <w:sz w:val="20"/>
          <w:szCs w:val="20"/>
        </w:rPr>
        <w:t xml:space="preserve"> </w:t>
      </w:r>
    </w:p>
    <w:p w:rsidR="00994AD8" w:rsidRPr="00050B33" w:rsidRDefault="00994AD8" w:rsidP="00994AD8">
      <w:pPr>
        <w:pStyle w:val="Normlnweb"/>
        <w:rPr>
          <w:rFonts w:ascii="Calibri" w:hAnsi="Calibri" w:cs="Calibri"/>
          <w:b/>
          <w:bCs/>
          <w:sz w:val="20"/>
          <w:szCs w:val="20"/>
        </w:rPr>
      </w:pPr>
      <w:r w:rsidRPr="00050B33">
        <w:rPr>
          <w:rFonts w:ascii="Calibri" w:hAnsi="Calibri" w:cs="Calibri"/>
          <w:b/>
          <w:bCs/>
          <w:sz w:val="20"/>
          <w:szCs w:val="20"/>
        </w:rPr>
        <w:t>Princip</w:t>
      </w:r>
    </w:p>
    <w:p w:rsidR="00994AD8" w:rsidRDefault="00D95BFE" w:rsidP="00994AD8">
      <w:pPr>
        <w:pStyle w:val="Normlnweb"/>
        <w:rPr>
          <w:rFonts w:ascii="Calibri" w:hAnsi="Calibri" w:cs="Calibri"/>
          <w:sz w:val="20"/>
          <w:szCs w:val="20"/>
        </w:rPr>
      </w:pPr>
      <w:r w:rsidRPr="00D95BFE">
        <w:rPr>
          <w:rFonts w:ascii="Calibri" w:hAnsi="Calibri" w:cs="Calibri"/>
          <w:sz w:val="20"/>
          <w:szCs w:val="20"/>
        </w:rPr>
        <w:t xml:space="preserve">Rychlý kvantitativní test </w:t>
      </w:r>
      <w:proofErr w:type="spellStart"/>
      <w:r w:rsidRPr="00D95BFE">
        <w:rPr>
          <w:rFonts w:ascii="Calibri" w:hAnsi="Calibri" w:cs="Calibri"/>
          <w:sz w:val="20"/>
          <w:szCs w:val="20"/>
        </w:rPr>
        <w:t>Finecare</w:t>
      </w:r>
      <w:proofErr w:type="spellEnd"/>
      <w:r w:rsidRPr="00D95BFE">
        <w:rPr>
          <w:rFonts w:ascii="Calibri" w:hAnsi="Calibri" w:cs="Calibri"/>
          <w:sz w:val="20"/>
          <w:szCs w:val="20"/>
        </w:rPr>
        <w:t xml:space="preserve"> ™ TSH (hormon stimulující štítnou žlázu) je založen na </w:t>
      </w:r>
      <w:proofErr w:type="spellStart"/>
      <w:r w:rsidRPr="00D95BFE">
        <w:rPr>
          <w:rFonts w:ascii="Calibri" w:hAnsi="Calibri" w:cs="Calibri"/>
          <w:sz w:val="20"/>
          <w:szCs w:val="20"/>
        </w:rPr>
        <w:t>imunoanalýze</w:t>
      </w:r>
      <w:proofErr w:type="spellEnd"/>
      <w:r w:rsidRPr="00D95BFE">
        <w:rPr>
          <w:rFonts w:ascii="Calibri" w:hAnsi="Calibri" w:cs="Calibri"/>
          <w:sz w:val="20"/>
          <w:szCs w:val="20"/>
        </w:rPr>
        <w:t xml:space="preserve"> s laterálním průtokem. Rychlý kvantitativní test </w:t>
      </w:r>
      <w:proofErr w:type="spellStart"/>
      <w:r w:rsidRPr="00D95BFE">
        <w:rPr>
          <w:rFonts w:ascii="Calibri" w:hAnsi="Calibri" w:cs="Calibri"/>
          <w:sz w:val="20"/>
          <w:szCs w:val="20"/>
        </w:rPr>
        <w:t>FinecareTM</w:t>
      </w:r>
      <w:proofErr w:type="spellEnd"/>
      <w:r w:rsidRPr="00D95BFE">
        <w:rPr>
          <w:rFonts w:ascii="Calibri" w:hAnsi="Calibri" w:cs="Calibri"/>
          <w:sz w:val="20"/>
          <w:szCs w:val="20"/>
        </w:rPr>
        <w:t xml:space="preserve"> TSH (hormon stimulující štítnou žlázu) používá přímou pevnou sendvičovou </w:t>
      </w:r>
      <w:proofErr w:type="spellStart"/>
      <w:r w:rsidRPr="00D95BFE">
        <w:rPr>
          <w:rFonts w:ascii="Calibri" w:hAnsi="Calibri" w:cs="Calibri"/>
          <w:sz w:val="20"/>
          <w:szCs w:val="20"/>
        </w:rPr>
        <w:t>imunodetekční</w:t>
      </w:r>
      <w:proofErr w:type="spellEnd"/>
      <w:r w:rsidRPr="00D95BFE">
        <w:rPr>
          <w:rFonts w:ascii="Calibri" w:hAnsi="Calibri" w:cs="Calibri"/>
          <w:sz w:val="20"/>
          <w:szCs w:val="20"/>
        </w:rPr>
        <w:t xml:space="preserve"> metodu, když se vzorek přidá do jamky vzorku, fluorescenčně značená detektorová protilátka TSH na membráně se ve vzorku krve samostatně váže na antigen TSH . Jak směs vzorků migruje na nitrocelulózové matrici testovacího proužku kapilárním působením, komplexy detekční protilátky s TSH jsou samostatně zachyceny TSH protilátkou, která byla imobilizována na testovacím proužku. Čím více je antigen ve vzorku krve, tím více komplexů se hromadí na testovacím proužku. Intenzita signálu fluorescence detektorové protilátky odráží množství zachyceného TSH. Měřič </w:t>
      </w:r>
      <w:proofErr w:type="spellStart"/>
      <w:r w:rsidRPr="00D95BFE">
        <w:rPr>
          <w:rFonts w:ascii="Calibri" w:hAnsi="Calibri" w:cs="Calibri"/>
          <w:sz w:val="20"/>
          <w:szCs w:val="20"/>
        </w:rPr>
        <w:t>FinecareTM</w:t>
      </w:r>
      <w:proofErr w:type="spellEnd"/>
      <w:r w:rsidRPr="00D95BFE">
        <w:rPr>
          <w:rFonts w:ascii="Calibri" w:hAnsi="Calibri" w:cs="Calibri"/>
          <w:sz w:val="20"/>
          <w:szCs w:val="20"/>
        </w:rPr>
        <w:t xml:space="preserve"> FIA ukazuje koncentraci TSH ve vzorku krve. Pracovní rozsah a mez detekce testovacího systému TSH jsou 0,1 až 100 </w:t>
      </w:r>
      <w:proofErr w:type="spellStart"/>
      <w:r w:rsidRPr="00D95BFE">
        <w:rPr>
          <w:rFonts w:ascii="Calibri" w:hAnsi="Calibri" w:cs="Calibri"/>
          <w:sz w:val="20"/>
          <w:szCs w:val="20"/>
        </w:rPr>
        <w:t>mIU</w:t>
      </w:r>
      <w:proofErr w:type="spellEnd"/>
      <w:r w:rsidRPr="00D95BFE">
        <w:rPr>
          <w:rFonts w:ascii="Calibri" w:hAnsi="Calibri" w:cs="Calibri"/>
          <w:sz w:val="20"/>
          <w:szCs w:val="20"/>
        </w:rPr>
        <w:t xml:space="preserve"> / la 0,1 </w:t>
      </w:r>
      <w:proofErr w:type="spellStart"/>
      <w:r w:rsidRPr="00D95BFE">
        <w:rPr>
          <w:rFonts w:ascii="Calibri" w:hAnsi="Calibri" w:cs="Calibri"/>
          <w:sz w:val="20"/>
          <w:szCs w:val="20"/>
        </w:rPr>
        <w:t>mIU</w:t>
      </w:r>
      <w:proofErr w:type="spellEnd"/>
      <w:r w:rsidRPr="00D95BFE">
        <w:rPr>
          <w:rFonts w:ascii="Calibri" w:hAnsi="Calibri" w:cs="Calibri"/>
          <w:sz w:val="20"/>
          <w:szCs w:val="20"/>
        </w:rPr>
        <w:t xml:space="preserve"> / l</w:t>
      </w:r>
      <w:r w:rsidR="00994AD8" w:rsidRPr="00994AD8">
        <w:rPr>
          <w:rFonts w:ascii="Calibri" w:hAnsi="Calibri" w:cs="Calibri"/>
          <w:sz w:val="20"/>
          <w:szCs w:val="20"/>
        </w:rPr>
        <w:t>.</w:t>
      </w:r>
    </w:p>
    <w:p w:rsidR="00994AD8" w:rsidRPr="00050B33" w:rsidRDefault="00994AD8" w:rsidP="00994AD8">
      <w:pPr>
        <w:pStyle w:val="Normlnweb"/>
        <w:rPr>
          <w:rFonts w:ascii="Calibri" w:hAnsi="Calibri" w:cs="Calibri"/>
          <w:b/>
          <w:bCs/>
          <w:sz w:val="20"/>
          <w:szCs w:val="20"/>
        </w:rPr>
      </w:pPr>
      <w:r w:rsidRPr="00050B33">
        <w:rPr>
          <w:rFonts w:ascii="Calibri" w:hAnsi="Calibri" w:cs="Calibri"/>
          <w:b/>
          <w:bCs/>
          <w:sz w:val="20"/>
          <w:szCs w:val="20"/>
        </w:rPr>
        <w:t>Upozornění</w:t>
      </w:r>
    </w:p>
    <w:p w:rsidR="00D95BFE" w:rsidRPr="00D95BFE" w:rsidRDefault="00D95BFE" w:rsidP="00D95BFE">
      <w:pPr>
        <w:pStyle w:val="Normlnweb"/>
        <w:rPr>
          <w:rFonts w:ascii="Calibri" w:hAnsi="Calibri" w:cs="Calibri"/>
          <w:sz w:val="20"/>
          <w:szCs w:val="20"/>
        </w:rPr>
      </w:pPr>
      <w:r w:rsidRPr="00D95BFE">
        <w:rPr>
          <w:rFonts w:ascii="Calibri" w:hAnsi="Calibri" w:cs="Calibri"/>
          <w:sz w:val="20"/>
          <w:szCs w:val="20"/>
        </w:rPr>
        <w:t>1. Tato souprava je určena pouze pro diagnostické použití in vitro. Nepolykej</w:t>
      </w:r>
      <w:r>
        <w:rPr>
          <w:rFonts w:ascii="Calibri" w:hAnsi="Calibri" w:cs="Calibri"/>
          <w:sz w:val="20"/>
          <w:szCs w:val="20"/>
        </w:rPr>
        <w:t>te jakékoliv součásti setu</w:t>
      </w:r>
      <w:r w:rsidRPr="00D95BFE">
        <w:rPr>
          <w:rFonts w:ascii="Calibri" w:hAnsi="Calibri" w:cs="Calibri"/>
          <w:sz w:val="20"/>
          <w:szCs w:val="20"/>
        </w:rPr>
        <w:t>.</w:t>
      </w:r>
    </w:p>
    <w:p w:rsidR="00D95BFE" w:rsidRPr="00D95BFE" w:rsidRDefault="00D95BFE" w:rsidP="00D95BFE">
      <w:pPr>
        <w:pStyle w:val="Normlnweb"/>
        <w:rPr>
          <w:rFonts w:ascii="Calibri" w:hAnsi="Calibri" w:cs="Calibri"/>
          <w:sz w:val="20"/>
          <w:szCs w:val="20"/>
        </w:rPr>
      </w:pPr>
      <w:r w:rsidRPr="00D95BFE">
        <w:rPr>
          <w:rFonts w:ascii="Calibri" w:hAnsi="Calibri" w:cs="Calibri"/>
          <w:sz w:val="20"/>
          <w:szCs w:val="20"/>
        </w:rPr>
        <w:t>2. Nemíchejte komponenty z různých šarží soupravy.</w:t>
      </w:r>
    </w:p>
    <w:p w:rsidR="00D95BFE" w:rsidRPr="00D95BFE" w:rsidRDefault="00D95BFE" w:rsidP="00D95BFE">
      <w:pPr>
        <w:pStyle w:val="Normlnweb"/>
        <w:rPr>
          <w:rFonts w:ascii="Calibri" w:hAnsi="Calibri" w:cs="Calibri"/>
          <w:sz w:val="20"/>
          <w:szCs w:val="20"/>
        </w:rPr>
      </w:pPr>
      <w:r w:rsidRPr="00D95BFE">
        <w:rPr>
          <w:rFonts w:ascii="Calibri" w:hAnsi="Calibri" w:cs="Calibri"/>
          <w:sz w:val="20"/>
          <w:szCs w:val="20"/>
        </w:rPr>
        <w:t>3. Nepoužívejte testovací soupravu po uplynutí doby použitelnosti.</w:t>
      </w:r>
    </w:p>
    <w:p w:rsidR="00D95BFE" w:rsidRPr="00D95BFE" w:rsidRDefault="00D95BFE" w:rsidP="00D95BFE">
      <w:pPr>
        <w:pStyle w:val="Normlnweb"/>
        <w:rPr>
          <w:rFonts w:ascii="Calibri" w:hAnsi="Calibri" w:cs="Calibri"/>
          <w:sz w:val="20"/>
          <w:szCs w:val="20"/>
        </w:rPr>
      </w:pPr>
      <w:r w:rsidRPr="00D95BFE">
        <w:rPr>
          <w:rFonts w:ascii="Calibri" w:hAnsi="Calibri" w:cs="Calibri"/>
          <w:sz w:val="20"/>
          <w:szCs w:val="20"/>
        </w:rPr>
        <w:t xml:space="preserve">4. Ujistěte se, že číslo šarže </w:t>
      </w:r>
      <w:r>
        <w:rPr>
          <w:rFonts w:ascii="Calibri" w:hAnsi="Calibri" w:cs="Calibri"/>
          <w:sz w:val="20"/>
          <w:szCs w:val="20"/>
        </w:rPr>
        <w:t>testu</w:t>
      </w:r>
      <w:r w:rsidRPr="00D95BFE">
        <w:rPr>
          <w:rFonts w:ascii="Calibri" w:hAnsi="Calibri" w:cs="Calibri"/>
          <w:sz w:val="20"/>
          <w:szCs w:val="20"/>
        </w:rPr>
        <w:t>, číslo šarže ID čipu jsou</w:t>
      </w:r>
      <w:r>
        <w:rPr>
          <w:rFonts w:ascii="Calibri" w:hAnsi="Calibri" w:cs="Calibri"/>
          <w:sz w:val="20"/>
          <w:szCs w:val="20"/>
        </w:rPr>
        <w:t xml:space="preserve"> </w:t>
      </w:r>
      <w:r w:rsidRPr="00D95BFE">
        <w:rPr>
          <w:rFonts w:ascii="Calibri" w:hAnsi="Calibri" w:cs="Calibri"/>
          <w:sz w:val="20"/>
          <w:szCs w:val="20"/>
        </w:rPr>
        <w:t>před použitím stejné.</w:t>
      </w:r>
    </w:p>
    <w:p w:rsidR="00D95BFE" w:rsidRPr="00D95BFE" w:rsidRDefault="00D95BFE" w:rsidP="00D95BFE">
      <w:pPr>
        <w:pStyle w:val="Normlnweb"/>
        <w:rPr>
          <w:rFonts w:ascii="Calibri" w:hAnsi="Calibri" w:cs="Calibri"/>
          <w:sz w:val="20"/>
          <w:szCs w:val="20"/>
        </w:rPr>
      </w:pPr>
      <w:r w:rsidRPr="00D95BFE">
        <w:rPr>
          <w:rFonts w:ascii="Calibri" w:hAnsi="Calibri" w:cs="Calibri"/>
          <w:sz w:val="20"/>
          <w:szCs w:val="20"/>
        </w:rPr>
        <w:t xml:space="preserve">5. Rychlý kvantitativní test </w:t>
      </w:r>
      <w:proofErr w:type="spellStart"/>
      <w:r w:rsidRPr="00D95BFE">
        <w:rPr>
          <w:rFonts w:ascii="Calibri" w:hAnsi="Calibri" w:cs="Calibri"/>
          <w:sz w:val="20"/>
          <w:szCs w:val="20"/>
        </w:rPr>
        <w:t>Finecare</w:t>
      </w:r>
      <w:proofErr w:type="spellEnd"/>
      <w:r w:rsidRPr="00D95BFE">
        <w:rPr>
          <w:rFonts w:ascii="Calibri" w:hAnsi="Calibri" w:cs="Calibri"/>
          <w:sz w:val="20"/>
          <w:szCs w:val="20"/>
        </w:rPr>
        <w:t xml:space="preserve"> ™ TSH (hormon stimulující štítnou žlázu) je</w:t>
      </w:r>
      <w:r>
        <w:rPr>
          <w:rFonts w:ascii="Calibri" w:hAnsi="Calibri" w:cs="Calibri"/>
          <w:sz w:val="20"/>
          <w:szCs w:val="20"/>
        </w:rPr>
        <w:t xml:space="preserve"> </w:t>
      </w:r>
      <w:r w:rsidRPr="00D95BFE">
        <w:rPr>
          <w:rFonts w:ascii="Calibri" w:hAnsi="Calibri" w:cs="Calibri"/>
          <w:sz w:val="20"/>
          <w:szCs w:val="20"/>
        </w:rPr>
        <w:t xml:space="preserve">funkční pouze v měřiči </w:t>
      </w:r>
      <w:proofErr w:type="spellStart"/>
      <w:r w:rsidRPr="00D95BFE">
        <w:rPr>
          <w:rFonts w:ascii="Calibri" w:hAnsi="Calibri" w:cs="Calibri"/>
          <w:sz w:val="20"/>
          <w:szCs w:val="20"/>
        </w:rPr>
        <w:t>Finecare</w:t>
      </w:r>
      <w:proofErr w:type="spellEnd"/>
      <w:r w:rsidRPr="00D95BFE">
        <w:rPr>
          <w:rFonts w:ascii="Calibri" w:hAnsi="Calibri" w:cs="Calibri"/>
          <w:sz w:val="20"/>
          <w:szCs w:val="20"/>
        </w:rPr>
        <w:t xml:space="preserve"> ™ FIA. Testy by měly provádět odborně vyškolení pracovníci</w:t>
      </w:r>
      <w:r>
        <w:rPr>
          <w:rFonts w:ascii="Calibri" w:hAnsi="Calibri" w:cs="Calibri"/>
          <w:sz w:val="20"/>
          <w:szCs w:val="20"/>
        </w:rPr>
        <w:t xml:space="preserve">, </w:t>
      </w:r>
      <w:r w:rsidRPr="00D95BFE">
        <w:rPr>
          <w:rFonts w:ascii="Calibri" w:hAnsi="Calibri" w:cs="Calibri"/>
          <w:sz w:val="20"/>
          <w:szCs w:val="20"/>
        </w:rPr>
        <w:t xml:space="preserve">vzorek </w:t>
      </w:r>
      <w:r>
        <w:rPr>
          <w:rFonts w:ascii="Calibri" w:hAnsi="Calibri" w:cs="Calibri"/>
          <w:sz w:val="20"/>
          <w:szCs w:val="20"/>
        </w:rPr>
        <w:t xml:space="preserve">by měl být </w:t>
      </w:r>
      <w:r w:rsidRPr="00D95BFE">
        <w:rPr>
          <w:rFonts w:ascii="Calibri" w:hAnsi="Calibri" w:cs="Calibri"/>
          <w:sz w:val="20"/>
          <w:szCs w:val="20"/>
        </w:rPr>
        <w:t>odebírán kvalifikovaným zdravotnickým personálem.</w:t>
      </w:r>
    </w:p>
    <w:p w:rsidR="00D95BFE" w:rsidRPr="00D95BFE" w:rsidRDefault="00D95BFE" w:rsidP="00D95BFE">
      <w:pPr>
        <w:pStyle w:val="Normlnweb"/>
        <w:rPr>
          <w:rFonts w:ascii="Calibri" w:hAnsi="Calibri" w:cs="Calibri"/>
          <w:sz w:val="20"/>
          <w:szCs w:val="20"/>
        </w:rPr>
      </w:pPr>
      <w:r w:rsidRPr="00D95BFE">
        <w:rPr>
          <w:rFonts w:ascii="Calibri" w:hAnsi="Calibri" w:cs="Calibri"/>
          <w:sz w:val="20"/>
          <w:szCs w:val="20"/>
        </w:rPr>
        <w:t xml:space="preserve">6. </w:t>
      </w:r>
      <w:r>
        <w:rPr>
          <w:rFonts w:ascii="Calibri" w:hAnsi="Calibri" w:cs="Calibri"/>
          <w:sz w:val="20"/>
          <w:szCs w:val="20"/>
        </w:rPr>
        <w:t>Testovací kazeta by</w:t>
      </w:r>
      <w:r w:rsidRPr="00D95BFE">
        <w:rPr>
          <w:rFonts w:ascii="Calibri" w:hAnsi="Calibri" w:cs="Calibri"/>
          <w:sz w:val="20"/>
          <w:szCs w:val="20"/>
        </w:rPr>
        <w:t xml:space="preserve"> měl</w:t>
      </w:r>
      <w:r>
        <w:rPr>
          <w:rFonts w:ascii="Calibri" w:hAnsi="Calibri" w:cs="Calibri"/>
          <w:sz w:val="20"/>
          <w:szCs w:val="20"/>
        </w:rPr>
        <w:t>a</w:t>
      </w:r>
      <w:r w:rsidRPr="00D95BFE">
        <w:rPr>
          <w:rFonts w:ascii="Calibri" w:hAnsi="Calibri" w:cs="Calibri"/>
          <w:sz w:val="20"/>
          <w:szCs w:val="20"/>
        </w:rPr>
        <w:t xml:space="preserve"> zůstat v původním uzavřeném sáčku, dokud nebude </w:t>
      </w:r>
      <w:r>
        <w:rPr>
          <w:rFonts w:ascii="Calibri" w:hAnsi="Calibri" w:cs="Calibri"/>
          <w:sz w:val="20"/>
          <w:szCs w:val="20"/>
        </w:rPr>
        <w:t xml:space="preserve">vše </w:t>
      </w:r>
      <w:r w:rsidRPr="00D95BFE">
        <w:rPr>
          <w:rFonts w:ascii="Calibri" w:hAnsi="Calibri" w:cs="Calibri"/>
          <w:sz w:val="20"/>
          <w:szCs w:val="20"/>
        </w:rPr>
        <w:t xml:space="preserve">připraveno k použití. Nepoužívejte </w:t>
      </w:r>
      <w:r>
        <w:rPr>
          <w:rFonts w:ascii="Calibri" w:hAnsi="Calibri" w:cs="Calibri"/>
          <w:sz w:val="20"/>
          <w:szCs w:val="20"/>
        </w:rPr>
        <w:t>test</w:t>
      </w:r>
      <w:r w:rsidRPr="00D95BFE">
        <w:rPr>
          <w:rFonts w:ascii="Calibri" w:hAnsi="Calibri" w:cs="Calibri"/>
          <w:sz w:val="20"/>
          <w:szCs w:val="20"/>
        </w:rPr>
        <w:t xml:space="preserve">, pokud je </w:t>
      </w:r>
      <w:r>
        <w:rPr>
          <w:rFonts w:ascii="Calibri" w:hAnsi="Calibri" w:cs="Calibri"/>
          <w:sz w:val="20"/>
          <w:szCs w:val="20"/>
        </w:rPr>
        <w:t>s</w:t>
      </w:r>
      <w:r w:rsidRPr="00D95BFE">
        <w:rPr>
          <w:rFonts w:ascii="Calibri" w:hAnsi="Calibri" w:cs="Calibri"/>
          <w:sz w:val="20"/>
          <w:szCs w:val="20"/>
        </w:rPr>
        <w:t>áček propíchnut nebo není dobře utěsněn. Zlikvidujte po jednorázovém použití.</w:t>
      </w:r>
    </w:p>
    <w:p w:rsidR="00D95BFE" w:rsidRPr="00D95BFE" w:rsidRDefault="00D95BFE" w:rsidP="00D95BFE">
      <w:pPr>
        <w:pStyle w:val="Normlnweb"/>
        <w:rPr>
          <w:rFonts w:ascii="Calibri" w:hAnsi="Calibri" w:cs="Calibri"/>
          <w:sz w:val="20"/>
          <w:szCs w:val="20"/>
        </w:rPr>
      </w:pPr>
      <w:r w:rsidRPr="00D95BFE">
        <w:rPr>
          <w:rFonts w:ascii="Calibri" w:hAnsi="Calibri" w:cs="Calibri"/>
          <w:sz w:val="20"/>
          <w:szCs w:val="20"/>
        </w:rPr>
        <w:t>7. Testovací zařízení a měřicí přístroj by měly být používány mimo vibrace a magnetické pole. Během normálního používání může zkušební zařízení vyvolat nepatrné vibrace, které by měly být považovány za normální.</w:t>
      </w:r>
    </w:p>
    <w:p w:rsidR="00D95BFE" w:rsidRPr="00D95BFE" w:rsidRDefault="00D95BFE" w:rsidP="00D95BFE">
      <w:pPr>
        <w:pStyle w:val="Normlnweb"/>
        <w:rPr>
          <w:rFonts w:ascii="Calibri" w:hAnsi="Calibri" w:cs="Calibri"/>
          <w:sz w:val="20"/>
          <w:szCs w:val="20"/>
        </w:rPr>
      </w:pPr>
      <w:r w:rsidRPr="00D95BFE">
        <w:rPr>
          <w:rFonts w:ascii="Calibri" w:hAnsi="Calibri" w:cs="Calibri"/>
          <w:sz w:val="20"/>
          <w:szCs w:val="20"/>
        </w:rPr>
        <w:t xml:space="preserve">8. Pro různé vzorky použijte samostatné čisté </w:t>
      </w:r>
      <w:proofErr w:type="spellStart"/>
      <w:r w:rsidRPr="00D95BFE">
        <w:rPr>
          <w:rFonts w:ascii="Calibri" w:hAnsi="Calibri" w:cs="Calibri"/>
          <w:sz w:val="20"/>
          <w:szCs w:val="20"/>
        </w:rPr>
        <w:t>pipetovací</w:t>
      </w:r>
      <w:proofErr w:type="spellEnd"/>
      <w:r w:rsidRPr="00D95BFE">
        <w:rPr>
          <w:rFonts w:ascii="Calibri" w:hAnsi="Calibri" w:cs="Calibri"/>
          <w:sz w:val="20"/>
          <w:szCs w:val="20"/>
        </w:rPr>
        <w:t xml:space="preserve"> špičky </w:t>
      </w:r>
      <w:r>
        <w:rPr>
          <w:rFonts w:ascii="Calibri" w:hAnsi="Calibri" w:cs="Calibri"/>
          <w:sz w:val="20"/>
          <w:szCs w:val="20"/>
        </w:rPr>
        <w:t>a další vybavení</w:t>
      </w:r>
      <w:r w:rsidRPr="00D95BFE">
        <w:rPr>
          <w:rFonts w:ascii="Calibri" w:hAnsi="Calibri" w:cs="Calibri"/>
          <w:sz w:val="20"/>
          <w:szCs w:val="20"/>
        </w:rPr>
        <w:t xml:space="preserve">. Špičky pipety a </w:t>
      </w:r>
      <w:r>
        <w:rPr>
          <w:rFonts w:ascii="Calibri" w:hAnsi="Calibri" w:cs="Calibri"/>
          <w:sz w:val="20"/>
          <w:szCs w:val="20"/>
        </w:rPr>
        <w:t>další vybavení</w:t>
      </w:r>
      <w:r w:rsidRPr="00D95BFE">
        <w:rPr>
          <w:rFonts w:ascii="Calibri" w:hAnsi="Calibri" w:cs="Calibri"/>
          <w:sz w:val="20"/>
          <w:szCs w:val="20"/>
        </w:rPr>
        <w:t xml:space="preserve"> by se měly používat pouze pro jeden vzorek. Zlikvidujte po jednorázovém použití.</w:t>
      </w:r>
    </w:p>
    <w:p w:rsidR="00D95BFE" w:rsidRPr="00D95BFE" w:rsidRDefault="00D95BFE" w:rsidP="00D95BFE">
      <w:pPr>
        <w:pStyle w:val="Normlnweb"/>
        <w:rPr>
          <w:rFonts w:ascii="Calibri" w:hAnsi="Calibri" w:cs="Calibri"/>
          <w:sz w:val="20"/>
          <w:szCs w:val="20"/>
        </w:rPr>
      </w:pPr>
      <w:r w:rsidRPr="00D95BFE">
        <w:rPr>
          <w:rFonts w:ascii="Calibri" w:hAnsi="Calibri" w:cs="Calibri"/>
          <w:sz w:val="20"/>
          <w:szCs w:val="20"/>
        </w:rPr>
        <w:lastRenderedPageBreak/>
        <w:t>9. Nekuřte, nejezte ani nepijte v oblastech, kde se manipuluje se vzorky nebo reagenciemi soupravy.</w:t>
      </w:r>
    </w:p>
    <w:p w:rsidR="00D95BFE" w:rsidRPr="00D95BFE" w:rsidRDefault="00D95BFE" w:rsidP="00D95BFE">
      <w:pPr>
        <w:pStyle w:val="Normlnweb"/>
        <w:rPr>
          <w:rFonts w:ascii="Calibri" w:hAnsi="Calibri" w:cs="Calibri"/>
          <w:sz w:val="20"/>
          <w:szCs w:val="20"/>
        </w:rPr>
      </w:pPr>
      <w:r w:rsidRPr="00D95BFE">
        <w:rPr>
          <w:rFonts w:ascii="Calibri" w:hAnsi="Calibri" w:cs="Calibri"/>
          <w:sz w:val="20"/>
          <w:szCs w:val="20"/>
        </w:rPr>
        <w:t xml:space="preserve">10. Vzorky krve, použité testovací přístroje, </w:t>
      </w:r>
      <w:proofErr w:type="spellStart"/>
      <w:r w:rsidRPr="00D95BFE">
        <w:rPr>
          <w:rFonts w:ascii="Calibri" w:hAnsi="Calibri" w:cs="Calibri"/>
          <w:sz w:val="20"/>
          <w:szCs w:val="20"/>
        </w:rPr>
        <w:t>pipetovací</w:t>
      </w:r>
      <w:proofErr w:type="spellEnd"/>
      <w:r w:rsidRPr="00D95BFE">
        <w:rPr>
          <w:rFonts w:ascii="Calibri" w:hAnsi="Calibri" w:cs="Calibri"/>
          <w:sz w:val="20"/>
          <w:szCs w:val="20"/>
        </w:rPr>
        <w:t xml:space="preserve"> špičky a lahvičky s detekčním pufrem jsou potenciálně infekční. Řádné laboratorní bezpečnostní techniky, metody manipulace a likvidace by měly být dodržovány v souladu se standardními postupy a příslušnými předpisy</w:t>
      </w:r>
      <w:r>
        <w:rPr>
          <w:rFonts w:ascii="Calibri" w:hAnsi="Calibri" w:cs="Calibri"/>
          <w:sz w:val="20"/>
          <w:szCs w:val="20"/>
        </w:rPr>
        <w:t xml:space="preserve"> pro práci s</w:t>
      </w:r>
      <w:r w:rsidRPr="00D95BFE">
        <w:rPr>
          <w:rFonts w:ascii="Calibri" w:hAnsi="Calibri" w:cs="Calibri"/>
          <w:sz w:val="20"/>
          <w:szCs w:val="20"/>
        </w:rPr>
        <w:t xml:space="preserve"> mikrobiologick</w:t>
      </w:r>
      <w:r>
        <w:rPr>
          <w:rFonts w:ascii="Calibri" w:hAnsi="Calibri" w:cs="Calibri"/>
          <w:sz w:val="20"/>
          <w:szCs w:val="20"/>
        </w:rPr>
        <w:t>ými</w:t>
      </w:r>
      <w:r w:rsidRPr="00D95BFE">
        <w:rPr>
          <w:rFonts w:ascii="Calibri" w:hAnsi="Calibri" w:cs="Calibri"/>
          <w:sz w:val="20"/>
          <w:szCs w:val="20"/>
        </w:rPr>
        <w:t xml:space="preserve"> nebezpečn</w:t>
      </w:r>
      <w:r>
        <w:rPr>
          <w:rFonts w:ascii="Calibri" w:hAnsi="Calibri" w:cs="Calibri"/>
          <w:sz w:val="20"/>
          <w:szCs w:val="20"/>
        </w:rPr>
        <w:t>ými</w:t>
      </w:r>
      <w:r w:rsidRPr="00D95BFE">
        <w:rPr>
          <w:rFonts w:ascii="Calibri" w:hAnsi="Calibri" w:cs="Calibri"/>
          <w:sz w:val="20"/>
          <w:szCs w:val="20"/>
        </w:rPr>
        <w:t xml:space="preserve"> materiály.</w:t>
      </w:r>
    </w:p>
    <w:p w:rsidR="00D95BFE" w:rsidRPr="00D95BFE" w:rsidRDefault="00D95BFE" w:rsidP="00D95BFE">
      <w:pPr>
        <w:pStyle w:val="Normlnweb"/>
        <w:rPr>
          <w:rFonts w:ascii="Calibri" w:hAnsi="Calibri" w:cs="Calibri"/>
          <w:sz w:val="20"/>
          <w:szCs w:val="20"/>
        </w:rPr>
      </w:pPr>
      <w:r w:rsidRPr="00D95BFE">
        <w:rPr>
          <w:rFonts w:ascii="Calibri" w:hAnsi="Calibri" w:cs="Calibri"/>
          <w:sz w:val="20"/>
          <w:szCs w:val="20"/>
        </w:rPr>
        <w:t xml:space="preserve">11. Rychlý kvantitativní test </w:t>
      </w:r>
      <w:proofErr w:type="spellStart"/>
      <w:r w:rsidRPr="00D95BFE">
        <w:rPr>
          <w:rFonts w:ascii="Calibri" w:hAnsi="Calibri" w:cs="Calibri"/>
          <w:sz w:val="20"/>
          <w:szCs w:val="20"/>
        </w:rPr>
        <w:t>FinecareTM</w:t>
      </w:r>
      <w:proofErr w:type="spellEnd"/>
      <w:r w:rsidRPr="00D95BFE">
        <w:rPr>
          <w:rFonts w:ascii="Calibri" w:hAnsi="Calibri" w:cs="Calibri"/>
          <w:sz w:val="20"/>
          <w:szCs w:val="20"/>
        </w:rPr>
        <w:t xml:space="preserve"> TSH (hormon stimulující štítnou žlázu) by neměl být používán jako absolutní důkaz funkční diagnostiky štítné žlázy.</w:t>
      </w:r>
    </w:p>
    <w:p w:rsidR="00D95BFE" w:rsidRPr="00D95BFE" w:rsidRDefault="00D95BFE" w:rsidP="00D95BFE">
      <w:pPr>
        <w:pStyle w:val="Normlnweb"/>
        <w:rPr>
          <w:rFonts w:ascii="Calibri" w:hAnsi="Calibri" w:cs="Calibri"/>
          <w:sz w:val="20"/>
          <w:szCs w:val="20"/>
        </w:rPr>
      </w:pPr>
      <w:r w:rsidRPr="00D95BFE">
        <w:rPr>
          <w:rFonts w:ascii="Calibri" w:hAnsi="Calibri" w:cs="Calibri"/>
          <w:sz w:val="20"/>
          <w:szCs w:val="20"/>
        </w:rPr>
        <w:t>Výsledky by měl interpretovat lékař spolu s klinickými nálezy a dalšími výsledky laboratorních testů</w:t>
      </w:r>
      <w:r>
        <w:rPr>
          <w:rFonts w:ascii="Calibri" w:hAnsi="Calibri" w:cs="Calibri"/>
          <w:sz w:val="20"/>
          <w:szCs w:val="20"/>
        </w:rPr>
        <w:t xml:space="preserve"> a vyšetřeními</w:t>
      </w:r>
      <w:r w:rsidRPr="00D95BFE">
        <w:rPr>
          <w:rFonts w:ascii="Calibri" w:hAnsi="Calibri" w:cs="Calibri"/>
          <w:sz w:val="20"/>
          <w:szCs w:val="20"/>
        </w:rPr>
        <w:t>.</w:t>
      </w:r>
    </w:p>
    <w:p w:rsidR="00D95BFE" w:rsidRDefault="00D95BFE" w:rsidP="00D95BFE">
      <w:pPr>
        <w:pStyle w:val="Normlnweb"/>
        <w:rPr>
          <w:rFonts w:ascii="Calibri" w:hAnsi="Calibri" w:cs="Calibri"/>
          <w:b/>
          <w:bCs/>
          <w:sz w:val="20"/>
          <w:szCs w:val="20"/>
        </w:rPr>
      </w:pPr>
      <w:r w:rsidRPr="00D95BFE">
        <w:rPr>
          <w:rFonts w:ascii="Calibri" w:hAnsi="Calibri" w:cs="Calibri"/>
          <w:sz w:val="20"/>
          <w:szCs w:val="20"/>
        </w:rPr>
        <w:t>12. Zkouška bude prováděna rutinně a ne v mimořádných situacích.</w:t>
      </w:r>
      <w:r w:rsidRPr="00D95BFE">
        <w:rPr>
          <w:rFonts w:ascii="Calibri" w:hAnsi="Calibri" w:cs="Calibri"/>
          <w:b/>
          <w:bCs/>
          <w:sz w:val="20"/>
          <w:szCs w:val="20"/>
        </w:rPr>
        <w:t xml:space="preserve"> </w:t>
      </w:r>
    </w:p>
    <w:p w:rsidR="00755805" w:rsidRPr="00755805" w:rsidRDefault="00755805" w:rsidP="00D95BFE">
      <w:pPr>
        <w:pStyle w:val="Normlnweb"/>
        <w:rPr>
          <w:rFonts w:ascii="Calibri" w:hAnsi="Calibri" w:cs="Calibri"/>
          <w:b/>
          <w:bCs/>
          <w:sz w:val="20"/>
          <w:szCs w:val="20"/>
        </w:rPr>
      </w:pPr>
      <w:r w:rsidRPr="00755805">
        <w:rPr>
          <w:rFonts w:ascii="Calibri" w:hAnsi="Calibri" w:cs="Calibri"/>
          <w:b/>
          <w:bCs/>
          <w:sz w:val="20"/>
          <w:szCs w:val="20"/>
        </w:rPr>
        <w:t>Materiál</w:t>
      </w:r>
    </w:p>
    <w:p w:rsidR="00755805" w:rsidRDefault="00755805" w:rsidP="00755805">
      <w:pPr>
        <w:pStyle w:val="Normlnweb"/>
        <w:rPr>
          <w:rFonts w:ascii="Calibri" w:hAnsi="Calibri" w:cs="Calibri"/>
          <w:sz w:val="20"/>
          <w:szCs w:val="20"/>
        </w:rPr>
      </w:pPr>
      <w:r w:rsidRPr="00755805">
        <w:rPr>
          <w:rFonts w:ascii="Calibri" w:hAnsi="Calibri" w:cs="Calibri"/>
          <w:b/>
          <w:bCs/>
          <w:sz w:val="20"/>
          <w:szCs w:val="20"/>
        </w:rPr>
        <w:t>Dodaný materiál</w:t>
      </w:r>
      <w:r>
        <w:rPr>
          <w:rFonts w:ascii="Calibri" w:hAnsi="Calibri" w:cs="Calibri"/>
          <w:sz w:val="20"/>
          <w:szCs w:val="20"/>
        </w:rPr>
        <w:t xml:space="preserve"> (platí obecně pro testovací kazety pro přístroje </w:t>
      </w:r>
      <w:proofErr w:type="spellStart"/>
      <w:r>
        <w:rPr>
          <w:rFonts w:ascii="Calibri" w:hAnsi="Calibri" w:cs="Calibri"/>
          <w:sz w:val="20"/>
          <w:szCs w:val="20"/>
        </w:rPr>
        <w:t>Finecare</w:t>
      </w:r>
      <w:proofErr w:type="spellEnd"/>
      <w:r>
        <w:rPr>
          <w:rFonts w:ascii="Calibri" w:hAnsi="Calibri" w:cs="Calibri"/>
          <w:sz w:val="20"/>
          <w:szCs w:val="20"/>
        </w:rPr>
        <w:t>, obsah sad pro různé parametry se může lišit)</w:t>
      </w:r>
    </w:p>
    <w:p w:rsidR="00755805" w:rsidRDefault="00755805" w:rsidP="00755805">
      <w:pPr>
        <w:pStyle w:val="Normlnweb"/>
        <w:rPr>
          <w:rFonts w:ascii="Calibri" w:hAnsi="Calibri" w:cs="Calibri"/>
          <w:sz w:val="20"/>
          <w:szCs w:val="20"/>
        </w:rPr>
      </w:pPr>
      <w:r>
        <w:rPr>
          <w:rFonts w:ascii="Calibri" w:hAnsi="Calibri" w:cs="Calibri"/>
          <w:sz w:val="20"/>
          <w:szCs w:val="20"/>
        </w:rPr>
        <w:t>Testovací kazety</w:t>
      </w:r>
      <w:r w:rsidRPr="00755805">
        <w:rPr>
          <w:rFonts w:ascii="Calibri" w:hAnsi="Calibri" w:cs="Calibri"/>
          <w:sz w:val="20"/>
          <w:szCs w:val="20"/>
        </w:rPr>
        <w:t xml:space="preserve"> v uzavřeném sáčku s</w:t>
      </w:r>
      <w:r>
        <w:rPr>
          <w:rFonts w:ascii="Calibri" w:hAnsi="Calibri" w:cs="Calibri"/>
          <w:sz w:val="20"/>
          <w:szCs w:val="20"/>
        </w:rPr>
        <w:t> </w:t>
      </w:r>
      <w:r w:rsidRPr="00755805">
        <w:rPr>
          <w:rFonts w:ascii="Calibri" w:hAnsi="Calibri" w:cs="Calibri"/>
          <w:sz w:val="20"/>
          <w:szCs w:val="20"/>
        </w:rPr>
        <w:t>vysoušečem</w:t>
      </w:r>
      <w:r>
        <w:rPr>
          <w:rFonts w:ascii="Calibri" w:hAnsi="Calibri" w:cs="Calibri"/>
          <w:sz w:val="20"/>
          <w:szCs w:val="20"/>
        </w:rPr>
        <w:t xml:space="preserve">, </w:t>
      </w:r>
      <w:r w:rsidRPr="00755805">
        <w:rPr>
          <w:rFonts w:ascii="Calibri" w:hAnsi="Calibri" w:cs="Calibri"/>
          <w:sz w:val="20"/>
          <w:szCs w:val="20"/>
        </w:rPr>
        <w:t>ID čip</w:t>
      </w:r>
      <w:r>
        <w:rPr>
          <w:rFonts w:ascii="Calibri" w:hAnsi="Calibri" w:cs="Calibri"/>
          <w:sz w:val="20"/>
          <w:szCs w:val="20"/>
        </w:rPr>
        <w:t>, d</w:t>
      </w:r>
      <w:r w:rsidRPr="00755805">
        <w:rPr>
          <w:rFonts w:ascii="Calibri" w:hAnsi="Calibri" w:cs="Calibri"/>
          <w:sz w:val="20"/>
          <w:szCs w:val="20"/>
        </w:rPr>
        <w:t xml:space="preserve">etekční </w:t>
      </w:r>
      <w:r>
        <w:rPr>
          <w:rFonts w:ascii="Calibri" w:hAnsi="Calibri" w:cs="Calibri"/>
          <w:sz w:val="20"/>
          <w:szCs w:val="20"/>
        </w:rPr>
        <w:t xml:space="preserve">pufr, </w:t>
      </w:r>
      <w:proofErr w:type="spellStart"/>
      <w:r>
        <w:rPr>
          <w:rFonts w:ascii="Calibri" w:hAnsi="Calibri" w:cs="Calibri"/>
          <w:sz w:val="20"/>
          <w:szCs w:val="20"/>
        </w:rPr>
        <w:t>p</w:t>
      </w:r>
      <w:r w:rsidRPr="00755805">
        <w:rPr>
          <w:rFonts w:ascii="Calibri" w:hAnsi="Calibri" w:cs="Calibri"/>
          <w:sz w:val="20"/>
          <w:szCs w:val="20"/>
        </w:rPr>
        <w:t>ipetovací</w:t>
      </w:r>
      <w:proofErr w:type="spellEnd"/>
      <w:r w:rsidRPr="00755805">
        <w:rPr>
          <w:rFonts w:ascii="Calibri" w:hAnsi="Calibri" w:cs="Calibri"/>
          <w:sz w:val="20"/>
          <w:szCs w:val="20"/>
        </w:rPr>
        <w:t xml:space="preserve"> špička</w:t>
      </w:r>
      <w:r>
        <w:rPr>
          <w:rFonts w:ascii="Calibri" w:hAnsi="Calibri" w:cs="Calibri"/>
          <w:sz w:val="20"/>
          <w:szCs w:val="20"/>
        </w:rPr>
        <w:t>, návod k použití</w:t>
      </w:r>
    </w:p>
    <w:p w:rsidR="00755805" w:rsidRDefault="00755805" w:rsidP="00755805">
      <w:pPr>
        <w:pStyle w:val="Normlnweb"/>
        <w:rPr>
          <w:rFonts w:ascii="Calibri" w:hAnsi="Calibri" w:cs="Calibri"/>
          <w:sz w:val="20"/>
          <w:szCs w:val="20"/>
        </w:rPr>
      </w:pPr>
      <w:r w:rsidRPr="00755805">
        <w:rPr>
          <w:rFonts w:ascii="Calibri" w:hAnsi="Calibri" w:cs="Calibri"/>
          <w:b/>
          <w:bCs/>
          <w:sz w:val="20"/>
          <w:szCs w:val="20"/>
        </w:rPr>
        <w:t>Potřebný materiál</w:t>
      </w:r>
      <w:r>
        <w:rPr>
          <w:rFonts w:ascii="Calibri" w:hAnsi="Calibri" w:cs="Calibri"/>
          <w:sz w:val="20"/>
          <w:szCs w:val="20"/>
        </w:rPr>
        <w:t xml:space="preserve"> (nedodáván, potřeby se mohou lišit dle zvyklostí pracoviště)</w:t>
      </w:r>
    </w:p>
    <w:p w:rsidR="00755805" w:rsidRDefault="00755805" w:rsidP="00755805">
      <w:pPr>
        <w:pStyle w:val="Normlnweb"/>
        <w:rPr>
          <w:rFonts w:ascii="Calibri" w:hAnsi="Calibri" w:cs="Calibri"/>
          <w:sz w:val="20"/>
          <w:szCs w:val="20"/>
        </w:rPr>
      </w:pPr>
      <w:proofErr w:type="spellStart"/>
      <w:r w:rsidRPr="00755805">
        <w:rPr>
          <w:rFonts w:ascii="Calibri" w:hAnsi="Calibri" w:cs="Calibri"/>
          <w:sz w:val="20"/>
          <w:szCs w:val="20"/>
        </w:rPr>
        <w:t>Finecare</w:t>
      </w:r>
      <w:proofErr w:type="spellEnd"/>
      <w:r w:rsidRPr="00755805">
        <w:rPr>
          <w:rFonts w:ascii="Calibri" w:hAnsi="Calibri" w:cs="Calibri"/>
          <w:sz w:val="20"/>
          <w:szCs w:val="20"/>
        </w:rPr>
        <w:t xml:space="preserve"> ™ FIA systém</w:t>
      </w:r>
      <w:r>
        <w:rPr>
          <w:rFonts w:ascii="Calibri" w:hAnsi="Calibri" w:cs="Calibri"/>
          <w:sz w:val="20"/>
          <w:szCs w:val="20"/>
        </w:rPr>
        <w:t>, pipeta</w:t>
      </w:r>
      <w:r w:rsidRPr="00755805">
        <w:rPr>
          <w:rFonts w:ascii="Calibri" w:hAnsi="Calibri" w:cs="Calibri"/>
          <w:sz w:val="20"/>
          <w:szCs w:val="20"/>
        </w:rPr>
        <w:t xml:space="preserve"> (velikost </w:t>
      </w:r>
      <w:r w:rsidR="00D95BFE">
        <w:rPr>
          <w:rFonts w:ascii="Calibri" w:hAnsi="Calibri" w:cs="Calibri"/>
          <w:sz w:val="20"/>
          <w:szCs w:val="20"/>
        </w:rPr>
        <w:t>75</w:t>
      </w:r>
      <w:r w:rsidRPr="00755805">
        <w:rPr>
          <w:rFonts w:ascii="Calibri" w:hAnsi="Calibri" w:cs="Calibri"/>
          <w:sz w:val="20"/>
          <w:szCs w:val="20"/>
        </w:rPr>
        <w:t xml:space="preserve"> </w:t>
      </w:r>
      <w:proofErr w:type="spellStart"/>
      <w:r w:rsidRPr="00755805">
        <w:rPr>
          <w:rFonts w:ascii="Calibri" w:hAnsi="Calibri" w:cs="Calibri"/>
          <w:sz w:val="20"/>
          <w:szCs w:val="20"/>
        </w:rPr>
        <w:t>μL</w:t>
      </w:r>
      <w:proofErr w:type="spellEnd"/>
      <w:r w:rsidRPr="00755805">
        <w:rPr>
          <w:rFonts w:ascii="Calibri" w:hAnsi="Calibri" w:cs="Calibri"/>
          <w:sz w:val="20"/>
          <w:szCs w:val="20"/>
        </w:rPr>
        <w:t>)</w:t>
      </w:r>
      <w:r>
        <w:rPr>
          <w:rFonts w:ascii="Calibri" w:hAnsi="Calibri" w:cs="Calibri"/>
          <w:sz w:val="20"/>
          <w:szCs w:val="20"/>
        </w:rPr>
        <w:t>, n</w:t>
      </w:r>
      <w:r w:rsidRPr="00755805">
        <w:rPr>
          <w:rFonts w:ascii="Calibri" w:hAnsi="Calibri" w:cs="Calibri"/>
          <w:sz w:val="20"/>
          <w:szCs w:val="20"/>
        </w:rPr>
        <w:t>ádoby na odběr vzorků</w:t>
      </w:r>
      <w:r>
        <w:rPr>
          <w:rFonts w:ascii="Calibri" w:hAnsi="Calibri" w:cs="Calibri"/>
          <w:sz w:val="20"/>
          <w:szCs w:val="20"/>
        </w:rPr>
        <w:t>, o</w:t>
      </w:r>
      <w:r w:rsidRPr="00755805">
        <w:rPr>
          <w:rFonts w:ascii="Calibri" w:hAnsi="Calibri" w:cs="Calibri"/>
          <w:sz w:val="20"/>
          <w:szCs w:val="20"/>
        </w:rPr>
        <w:t>dstředivka (pouze pro vzorek séra / plazmy)</w:t>
      </w:r>
      <w:r>
        <w:rPr>
          <w:rFonts w:ascii="Calibri" w:hAnsi="Calibri" w:cs="Calibri"/>
          <w:sz w:val="20"/>
          <w:szCs w:val="20"/>
        </w:rPr>
        <w:t>, č</w:t>
      </w:r>
      <w:r w:rsidRPr="00755805">
        <w:rPr>
          <w:rFonts w:ascii="Calibri" w:hAnsi="Calibri" w:cs="Calibri"/>
          <w:sz w:val="20"/>
          <w:szCs w:val="20"/>
        </w:rPr>
        <w:t>asovač</w:t>
      </w:r>
      <w:r>
        <w:rPr>
          <w:rFonts w:ascii="Calibri" w:hAnsi="Calibri" w:cs="Calibri"/>
          <w:sz w:val="20"/>
          <w:szCs w:val="20"/>
        </w:rPr>
        <w:t>.</w:t>
      </w:r>
    </w:p>
    <w:p w:rsidR="00755805" w:rsidRDefault="00755805" w:rsidP="00755805">
      <w:pPr>
        <w:pStyle w:val="Normlnweb"/>
        <w:rPr>
          <w:rFonts w:ascii="Calibri" w:hAnsi="Calibri" w:cs="Calibri"/>
          <w:b/>
          <w:bCs/>
          <w:sz w:val="20"/>
          <w:szCs w:val="20"/>
        </w:rPr>
      </w:pPr>
      <w:r w:rsidRPr="00755805">
        <w:rPr>
          <w:rFonts w:ascii="Calibri" w:hAnsi="Calibri" w:cs="Calibri"/>
          <w:b/>
          <w:bCs/>
          <w:sz w:val="20"/>
          <w:szCs w:val="20"/>
        </w:rPr>
        <w:t>Skladování a stabilita</w:t>
      </w:r>
    </w:p>
    <w:p w:rsidR="00755805" w:rsidRPr="00755805" w:rsidRDefault="00755805" w:rsidP="00755805">
      <w:pPr>
        <w:pStyle w:val="Normlnweb"/>
        <w:rPr>
          <w:rFonts w:ascii="Calibri" w:hAnsi="Calibri" w:cs="Calibri"/>
          <w:sz w:val="20"/>
          <w:szCs w:val="20"/>
        </w:rPr>
      </w:pPr>
      <w:r w:rsidRPr="00755805">
        <w:rPr>
          <w:rFonts w:ascii="Calibri" w:hAnsi="Calibri" w:cs="Calibri"/>
          <w:sz w:val="20"/>
          <w:szCs w:val="20"/>
        </w:rPr>
        <w:t xml:space="preserve">1. Zkušební soupravu skladujte při teplotě </w:t>
      </w:r>
      <w:r>
        <w:rPr>
          <w:rFonts w:ascii="Calibri" w:hAnsi="Calibri" w:cs="Calibri"/>
          <w:sz w:val="20"/>
          <w:szCs w:val="20"/>
        </w:rPr>
        <w:t xml:space="preserve">od </w:t>
      </w:r>
      <w:r w:rsidRPr="00755805">
        <w:rPr>
          <w:rFonts w:ascii="Calibri" w:hAnsi="Calibri" w:cs="Calibri"/>
          <w:sz w:val="20"/>
          <w:szCs w:val="20"/>
        </w:rPr>
        <w:t xml:space="preserve">4 C </w:t>
      </w:r>
      <w:r>
        <w:rPr>
          <w:rFonts w:ascii="Calibri" w:hAnsi="Calibri" w:cs="Calibri"/>
          <w:sz w:val="20"/>
          <w:szCs w:val="20"/>
        </w:rPr>
        <w:t xml:space="preserve">po </w:t>
      </w:r>
      <w:r w:rsidRPr="00755805">
        <w:rPr>
          <w:rFonts w:ascii="Calibri" w:hAnsi="Calibri" w:cs="Calibri"/>
          <w:sz w:val="20"/>
          <w:szCs w:val="20"/>
        </w:rPr>
        <w:t>30 C až do data exspirace vytištěného na obalu.</w:t>
      </w:r>
    </w:p>
    <w:p w:rsidR="00755805" w:rsidRPr="00755805" w:rsidRDefault="00755805" w:rsidP="00755805">
      <w:pPr>
        <w:pStyle w:val="Normlnweb"/>
        <w:rPr>
          <w:rFonts w:ascii="Calibri" w:hAnsi="Calibri" w:cs="Calibri"/>
          <w:sz w:val="20"/>
          <w:szCs w:val="20"/>
        </w:rPr>
      </w:pPr>
      <w:r w:rsidRPr="00755805">
        <w:rPr>
          <w:rFonts w:ascii="Calibri" w:hAnsi="Calibri" w:cs="Calibri"/>
          <w:sz w:val="20"/>
          <w:szCs w:val="20"/>
        </w:rPr>
        <w:t xml:space="preserve">2. Pokud vyjmete z chladničky, nechte testovací soupravu po dobu 30 minut </w:t>
      </w:r>
      <w:r>
        <w:rPr>
          <w:rFonts w:ascii="Calibri" w:hAnsi="Calibri" w:cs="Calibri"/>
          <w:sz w:val="20"/>
          <w:szCs w:val="20"/>
        </w:rPr>
        <w:t>v </w:t>
      </w:r>
      <w:r w:rsidRPr="00755805">
        <w:rPr>
          <w:rFonts w:ascii="Calibri" w:hAnsi="Calibri" w:cs="Calibri"/>
          <w:sz w:val="20"/>
          <w:szCs w:val="20"/>
        </w:rPr>
        <w:t>místnosti před testováním.</w:t>
      </w:r>
    </w:p>
    <w:p w:rsidR="00755805" w:rsidRDefault="00755805" w:rsidP="00755805">
      <w:pPr>
        <w:pStyle w:val="Normlnweb"/>
        <w:rPr>
          <w:rFonts w:ascii="Calibri" w:hAnsi="Calibri" w:cs="Calibri"/>
          <w:sz w:val="20"/>
          <w:szCs w:val="20"/>
        </w:rPr>
      </w:pPr>
      <w:r w:rsidRPr="00755805">
        <w:rPr>
          <w:rFonts w:ascii="Calibri" w:hAnsi="Calibri" w:cs="Calibri"/>
          <w:sz w:val="20"/>
          <w:szCs w:val="20"/>
        </w:rPr>
        <w:t>3. Nevyjímejte testovací kazetu z obalu, dokud ji nepoužijete. Testovací kazeta</w:t>
      </w:r>
      <w:r>
        <w:rPr>
          <w:rFonts w:ascii="Calibri" w:hAnsi="Calibri" w:cs="Calibri"/>
          <w:sz w:val="20"/>
          <w:szCs w:val="20"/>
        </w:rPr>
        <w:t xml:space="preserve"> </w:t>
      </w:r>
      <w:r w:rsidRPr="00755805">
        <w:rPr>
          <w:rFonts w:ascii="Calibri" w:hAnsi="Calibri" w:cs="Calibri"/>
          <w:sz w:val="20"/>
          <w:szCs w:val="20"/>
        </w:rPr>
        <w:t>by měl</w:t>
      </w:r>
      <w:r>
        <w:rPr>
          <w:rFonts w:ascii="Calibri" w:hAnsi="Calibri" w:cs="Calibri"/>
          <w:sz w:val="20"/>
          <w:szCs w:val="20"/>
        </w:rPr>
        <w:t>a</w:t>
      </w:r>
      <w:r w:rsidRPr="00755805">
        <w:rPr>
          <w:rFonts w:ascii="Calibri" w:hAnsi="Calibri" w:cs="Calibri"/>
          <w:sz w:val="20"/>
          <w:szCs w:val="20"/>
        </w:rPr>
        <w:t xml:space="preserve"> být použit</w:t>
      </w:r>
      <w:r>
        <w:rPr>
          <w:rFonts w:ascii="Calibri" w:hAnsi="Calibri" w:cs="Calibri"/>
          <w:sz w:val="20"/>
          <w:szCs w:val="20"/>
        </w:rPr>
        <w:t>a</w:t>
      </w:r>
      <w:r w:rsidRPr="00755805">
        <w:rPr>
          <w:rFonts w:ascii="Calibri" w:hAnsi="Calibri" w:cs="Calibri"/>
          <w:sz w:val="20"/>
          <w:szCs w:val="20"/>
        </w:rPr>
        <w:t xml:space="preserve"> do 1 hodiny po otevření.</w:t>
      </w:r>
    </w:p>
    <w:p w:rsidR="00F632FC" w:rsidRPr="00050B33" w:rsidRDefault="00F632FC" w:rsidP="00755805">
      <w:pPr>
        <w:pStyle w:val="Normlnweb"/>
        <w:rPr>
          <w:rFonts w:ascii="Calibri" w:hAnsi="Calibri" w:cs="Calibri"/>
          <w:b/>
          <w:bCs/>
          <w:sz w:val="20"/>
          <w:szCs w:val="20"/>
        </w:rPr>
      </w:pPr>
      <w:r w:rsidRPr="00050B33">
        <w:rPr>
          <w:rFonts w:ascii="Calibri" w:hAnsi="Calibri" w:cs="Calibri"/>
          <w:b/>
          <w:bCs/>
          <w:sz w:val="20"/>
          <w:szCs w:val="20"/>
        </w:rPr>
        <w:t>Odebrání vzorku a příprava</w:t>
      </w:r>
    </w:p>
    <w:p w:rsidR="00F632FC" w:rsidRPr="00F632FC" w:rsidRDefault="00F632FC" w:rsidP="00F632FC">
      <w:pPr>
        <w:pStyle w:val="Normlnweb"/>
        <w:rPr>
          <w:rFonts w:ascii="Calibri" w:hAnsi="Calibri" w:cs="Calibri"/>
          <w:sz w:val="20"/>
          <w:szCs w:val="20"/>
        </w:rPr>
      </w:pPr>
      <w:r w:rsidRPr="00F632FC">
        <w:rPr>
          <w:rFonts w:ascii="Calibri" w:hAnsi="Calibri" w:cs="Calibri"/>
          <w:sz w:val="20"/>
          <w:szCs w:val="20"/>
        </w:rPr>
        <w:t>Test může být proveden buď sérem, plazmou nebo plnou krví.</w:t>
      </w:r>
    </w:p>
    <w:p w:rsidR="00F632FC" w:rsidRPr="00F632FC" w:rsidRDefault="00F632FC" w:rsidP="00F632FC">
      <w:pPr>
        <w:pStyle w:val="Normlnweb"/>
        <w:rPr>
          <w:rFonts w:ascii="Calibri" w:hAnsi="Calibri" w:cs="Calibri"/>
          <w:sz w:val="20"/>
          <w:szCs w:val="20"/>
        </w:rPr>
      </w:pPr>
      <w:r w:rsidRPr="00F632FC">
        <w:rPr>
          <w:rFonts w:ascii="Calibri" w:hAnsi="Calibri" w:cs="Calibri"/>
          <w:b/>
          <w:bCs/>
          <w:sz w:val="20"/>
          <w:szCs w:val="20"/>
        </w:rPr>
        <w:t xml:space="preserve">Pro celou krev odebranou </w:t>
      </w:r>
      <w:proofErr w:type="spellStart"/>
      <w:r w:rsidRPr="00F632FC">
        <w:rPr>
          <w:rFonts w:ascii="Calibri" w:hAnsi="Calibri" w:cs="Calibri"/>
          <w:b/>
          <w:bCs/>
          <w:sz w:val="20"/>
          <w:szCs w:val="20"/>
        </w:rPr>
        <w:t>venipunkturou</w:t>
      </w:r>
      <w:proofErr w:type="spellEnd"/>
      <w:r w:rsidRPr="00F632FC">
        <w:rPr>
          <w:rFonts w:ascii="Calibri" w:hAnsi="Calibri" w:cs="Calibri"/>
          <w:sz w:val="20"/>
          <w:szCs w:val="20"/>
        </w:rPr>
        <w:t>:</w:t>
      </w:r>
    </w:p>
    <w:p w:rsidR="00F632FC" w:rsidRDefault="00F632FC" w:rsidP="00F632FC">
      <w:pPr>
        <w:pStyle w:val="Normlnweb"/>
        <w:rPr>
          <w:rFonts w:ascii="Calibri" w:hAnsi="Calibri" w:cs="Calibri"/>
          <w:sz w:val="20"/>
          <w:szCs w:val="20"/>
        </w:rPr>
      </w:pPr>
      <w:r w:rsidRPr="00F632FC">
        <w:rPr>
          <w:rFonts w:ascii="Calibri" w:hAnsi="Calibri" w:cs="Calibri"/>
          <w:sz w:val="20"/>
          <w:szCs w:val="20"/>
        </w:rPr>
        <w:t xml:space="preserve">Podle standardního </w:t>
      </w:r>
      <w:proofErr w:type="spellStart"/>
      <w:r w:rsidRPr="00F632FC">
        <w:rPr>
          <w:rFonts w:ascii="Calibri" w:hAnsi="Calibri" w:cs="Calibri"/>
          <w:sz w:val="20"/>
          <w:szCs w:val="20"/>
        </w:rPr>
        <w:t>flebotomického</w:t>
      </w:r>
      <w:proofErr w:type="spellEnd"/>
      <w:r w:rsidRPr="00F632FC">
        <w:rPr>
          <w:rFonts w:ascii="Calibri" w:hAnsi="Calibri" w:cs="Calibri"/>
          <w:sz w:val="20"/>
          <w:szCs w:val="20"/>
        </w:rPr>
        <w:t xml:space="preserve"> postupu se odebere </w:t>
      </w:r>
      <w:proofErr w:type="spellStart"/>
      <w:r w:rsidRPr="00F632FC">
        <w:rPr>
          <w:rFonts w:ascii="Calibri" w:hAnsi="Calibri" w:cs="Calibri"/>
          <w:sz w:val="20"/>
          <w:szCs w:val="20"/>
        </w:rPr>
        <w:t>venipunkční</w:t>
      </w:r>
      <w:proofErr w:type="spellEnd"/>
      <w:r w:rsidRPr="00F632FC">
        <w:rPr>
          <w:rFonts w:ascii="Calibri" w:hAnsi="Calibri" w:cs="Calibri"/>
          <w:sz w:val="20"/>
          <w:szCs w:val="20"/>
        </w:rPr>
        <w:t xml:space="preserve"> vzorek plné krve </w:t>
      </w:r>
      <w:r>
        <w:rPr>
          <w:rFonts w:ascii="Calibri" w:hAnsi="Calibri" w:cs="Calibri"/>
          <w:sz w:val="20"/>
          <w:szCs w:val="20"/>
        </w:rPr>
        <w:t xml:space="preserve">do </w:t>
      </w:r>
      <w:r w:rsidRPr="00F632FC">
        <w:rPr>
          <w:rFonts w:ascii="Calibri" w:hAnsi="Calibri" w:cs="Calibri"/>
          <w:sz w:val="20"/>
          <w:szCs w:val="20"/>
        </w:rPr>
        <w:t>zkumav</w:t>
      </w:r>
      <w:r>
        <w:rPr>
          <w:rFonts w:ascii="Calibri" w:hAnsi="Calibri" w:cs="Calibri"/>
          <w:sz w:val="20"/>
          <w:szCs w:val="20"/>
        </w:rPr>
        <w:t>ky</w:t>
      </w:r>
      <w:r w:rsidRPr="00F632FC">
        <w:rPr>
          <w:rFonts w:ascii="Calibri" w:hAnsi="Calibri" w:cs="Calibri"/>
          <w:sz w:val="20"/>
          <w:szCs w:val="20"/>
        </w:rPr>
        <w:t xml:space="preserve"> pro odběr krve, která obsahuje vhodné antikoagulační činidlo. (EDTA</w:t>
      </w:r>
      <w:r w:rsidR="00385197">
        <w:rPr>
          <w:rFonts w:ascii="Calibri" w:hAnsi="Calibri" w:cs="Calibri"/>
          <w:sz w:val="20"/>
          <w:szCs w:val="20"/>
        </w:rPr>
        <w:t xml:space="preserve"> doporučeno</w:t>
      </w:r>
      <w:r w:rsidRPr="00F632FC">
        <w:rPr>
          <w:rFonts w:ascii="Calibri" w:hAnsi="Calibri" w:cs="Calibri"/>
          <w:sz w:val="20"/>
          <w:szCs w:val="20"/>
        </w:rPr>
        <w:t>)</w:t>
      </w:r>
    </w:p>
    <w:p w:rsidR="00385197" w:rsidRPr="00F632FC" w:rsidRDefault="00F632FC" w:rsidP="00385197">
      <w:pPr>
        <w:pStyle w:val="Normlnweb"/>
        <w:rPr>
          <w:rFonts w:ascii="Calibri" w:hAnsi="Calibri" w:cs="Calibri"/>
          <w:sz w:val="20"/>
          <w:szCs w:val="20"/>
        </w:rPr>
      </w:pPr>
      <w:r w:rsidRPr="00F632FC">
        <w:rPr>
          <w:rFonts w:ascii="Calibri" w:hAnsi="Calibri" w:cs="Calibri"/>
          <w:sz w:val="20"/>
          <w:szCs w:val="20"/>
        </w:rPr>
        <w:t>Doporučuje se, aby byly vzork</w:t>
      </w:r>
      <w:r w:rsidR="00385197" w:rsidRPr="00F632FC">
        <w:rPr>
          <w:rFonts w:ascii="Calibri" w:hAnsi="Calibri" w:cs="Calibri"/>
          <w:sz w:val="20"/>
          <w:szCs w:val="20"/>
        </w:rPr>
        <w:t xml:space="preserve">y okamžitě testovány. Vzorky nenechávejte delší dobu při pokojové teplotě. Pokud nejsou vzorky ihned zkoušeny, měly by být uchovávány při teplotě 2 </w:t>
      </w:r>
      <w:r w:rsidR="00385197">
        <w:rPr>
          <w:rFonts w:ascii="Calibri" w:hAnsi="Calibri" w:cs="Calibri"/>
          <w:sz w:val="20"/>
          <w:szCs w:val="20"/>
        </w:rPr>
        <w:t>až 8 stupňů Celsia</w:t>
      </w:r>
      <w:r w:rsidR="00385197" w:rsidRPr="00F632FC">
        <w:rPr>
          <w:rFonts w:ascii="Calibri" w:hAnsi="Calibri" w:cs="Calibri"/>
          <w:sz w:val="20"/>
          <w:szCs w:val="20"/>
        </w:rPr>
        <w:t>.</w:t>
      </w:r>
    </w:p>
    <w:p w:rsidR="00385197" w:rsidRDefault="00385197" w:rsidP="00385197">
      <w:pPr>
        <w:pStyle w:val="Normlnweb"/>
        <w:rPr>
          <w:rFonts w:ascii="Calibri" w:hAnsi="Calibri" w:cs="Calibri"/>
          <w:sz w:val="20"/>
          <w:szCs w:val="20"/>
        </w:rPr>
      </w:pPr>
      <w:r w:rsidRPr="00F632FC">
        <w:rPr>
          <w:rFonts w:ascii="Calibri" w:hAnsi="Calibri" w:cs="Calibri"/>
          <w:sz w:val="20"/>
          <w:szCs w:val="20"/>
        </w:rPr>
        <w:t xml:space="preserve">Není vhodné testovat vzorek krve, který byl uchováván při </w:t>
      </w:r>
      <w:proofErr w:type="spellStart"/>
      <w:r w:rsidRPr="00F632FC">
        <w:rPr>
          <w:rFonts w:ascii="Calibri" w:hAnsi="Calibri" w:cs="Calibri"/>
          <w:sz w:val="20"/>
          <w:szCs w:val="20"/>
        </w:rPr>
        <w:t>při</w:t>
      </w:r>
      <w:proofErr w:type="spellEnd"/>
      <w:r w:rsidRPr="00F632FC">
        <w:rPr>
          <w:rFonts w:ascii="Calibri" w:hAnsi="Calibri" w:cs="Calibri"/>
          <w:sz w:val="20"/>
          <w:szCs w:val="20"/>
        </w:rPr>
        <w:t xml:space="preserve"> teplotě 2 </w:t>
      </w:r>
      <w:r>
        <w:rPr>
          <w:rFonts w:ascii="Calibri" w:hAnsi="Calibri" w:cs="Calibri"/>
          <w:sz w:val="20"/>
          <w:szCs w:val="20"/>
        </w:rPr>
        <w:t>až 8 stupňů Celsia</w:t>
      </w:r>
      <w:r w:rsidRPr="00F632FC">
        <w:rPr>
          <w:rFonts w:ascii="Calibri" w:hAnsi="Calibri" w:cs="Calibri"/>
          <w:sz w:val="20"/>
          <w:szCs w:val="20"/>
        </w:rPr>
        <w:t xml:space="preserve"> déle než 2</w:t>
      </w:r>
      <w:r>
        <w:rPr>
          <w:rFonts w:ascii="Calibri" w:hAnsi="Calibri" w:cs="Calibri"/>
          <w:sz w:val="20"/>
          <w:szCs w:val="20"/>
        </w:rPr>
        <w:t xml:space="preserve"> </w:t>
      </w:r>
      <w:r w:rsidRPr="00F632FC">
        <w:rPr>
          <w:rFonts w:ascii="Calibri" w:hAnsi="Calibri" w:cs="Calibri"/>
          <w:sz w:val="20"/>
          <w:szCs w:val="20"/>
        </w:rPr>
        <w:t>dny.</w:t>
      </w:r>
    </w:p>
    <w:p w:rsidR="00385197" w:rsidRPr="00F632FC" w:rsidRDefault="00385197" w:rsidP="00385197">
      <w:pPr>
        <w:pStyle w:val="Normlnweb"/>
        <w:rPr>
          <w:rFonts w:ascii="Calibri" w:hAnsi="Calibri" w:cs="Calibri"/>
          <w:b/>
          <w:bCs/>
          <w:sz w:val="20"/>
          <w:szCs w:val="20"/>
        </w:rPr>
      </w:pPr>
      <w:r w:rsidRPr="00F632FC">
        <w:rPr>
          <w:rFonts w:ascii="Calibri" w:hAnsi="Calibri" w:cs="Calibri"/>
          <w:b/>
          <w:bCs/>
          <w:sz w:val="20"/>
          <w:szCs w:val="20"/>
        </w:rPr>
        <w:t>Pro sérum a plazmu:</w:t>
      </w:r>
    </w:p>
    <w:p w:rsidR="00385197" w:rsidRPr="00F632FC" w:rsidRDefault="00385197" w:rsidP="00385197">
      <w:pPr>
        <w:pStyle w:val="Normlnweb"/>
        <w:rPr>
          <w:rFonts w:ascii="Calibri" w:hAnsi="Calibri" w:cs="Calibri"/>
          <w:sz w:val="20"/>
          <w:szCs w:val="20"/>
        </w:rPr>
      </w:pPr>
      <w:r w:rsidRPr="00F632FC">
        <w:rPr>
          <w:rFonts w:ascii="Calibri" w:hAnsi="Calibri" w:cs="Calibri"/>
          <w:sz w:val="20"/>
          <w:szCs w:val="20"/>
        </w:rPr>
        <w:t xml:space="preserve">1. Podle standardního </w:t>
      </w:r>
      <w:proofErr w:type="spellStart"/>
      <w:r w:rsidRPr="00F632FC">
        <w:rPr>
          <w:rFonts w:ascii="Calibri" w:hAnsi="Calibri" w:cs="Calibri"/>
          <w:sz w:val="20"/>
          <w:szCs w:val="20"/>
        </w:rPr>
        <w:t>flebotomického</w:t>
      </w:r>
      <w:proofErr w:type="spellEnd"/>
      <w:r w:rsidRPr="00F632FC">
        <w:rPr>
          <w:rFonts w:ascii="Calibri" w:hAnsi="Calibri" w:cs="Calibri"/>
          <w:sz w:val="20"/>
          <w:szCs w:val="20"/>
        </w:rPr>
        <w:t xml:space="preserve"> postupu odeberte venepunkční vzorek plné krve. Pokud potřebujete odebrat plazmu, použijte zkumavku na odběr krve, která obsahuje vhodné antikoagulanty (EDTA</w:t>
      </w:r>
      <w:r>
        <w:rPr>
          <w:rFonts w:ascii="Calibri" w:hAnsi="Calibri" w:cs="Calibri"/>
          <w:sz w:val="20"/>
          <w:szCs w:val="20"/>
        </w:rPr>
        <w:t xml:space="preserve"> doporučeno</w:t>
      </w:r>
      <w:r w:rsidRPr="00F632FC">
        <w:rPr>
          <w:rFonts w:ascii="Calibri" w:hAnsi="Calibri" w:cs="Calibri"/>
          <w:sz w:val="20"/>
          <w:szCs w:val="20"/>
        </w:rPr>
        <w:t>).</w:t>
      </w:r>
    </w:p>
    <w:p w:rsidR="00385197" w:rsidRPr="00F632FC" w:rsidRDefault="00385197" w:rsidP="00385197">
      <w:pPr>
        <w:pStyle w:val="Normlnweb"/>
        <w:rPr>
          <w:rFonts w:ascii="Calibri" w:hAnsi="Calibri" w:cs="Calibri"/>
          <w:sz w:val="20"/>
          <w:szCs w:val="20"/>
        </w:rPr>
      </w:pPr>
      <w:r w:rsidRPr="00F632FC">
        <w:rPr>
          <w:rFonts w:ascii="Calibri" w:hAnsi="Calibri" w:cs="Calibri"/>
          <w:sz w:val="20"/>
          <w:szCs w:val="20"/>
        </w:rPr>
        <w:lastRenderedPageBreak/>
        <w:t xml:space="preserve">2. Co nejdříve oddělte sérum / plazmu od krve, abyste zabránili hemolýze. Test by měl být proveden ihned po odběru vzorků. Vzorky nenechávejte delší dobu při pokojové teplotě. Vzorky by měly být uchovávány při 2 </w:t>
      </w:r>
      <w:r>
        <w:rPr>
          <w:rFonts w:ascii="Calibri" w:hAnsi="Calibri" w:cs="Calibri"/>
          <w:sz w:val="20"/>
          <w:szCs w:val="20"/>
        </w:rPr>
        <w:t>až</w:t>
      </w:r>
      <w:r w:rsidRPr="00F632FC">
        <w:rPr>
          <w:rFonts w:ascii="Calibri" w:hAnsi="Calibri" w:cs="Calibri"/>
          <w:sz w:val="20"/>
          <w:szCs w:val="20"/>
        </w:rPr>
        <w:t xml:space="preserve"> 8 </w:t>
      </w:r>
      <w:r>
        <w:rPr>
          <w:rFonts w:ascii="Calibri" w:hAnsi="Calibri" w:cs="Calibri"/>
          <w:sz w:val="20"/>
          <w:szCs w:val="20"/>
        </w:rPr>
        <w:t>stupňů celsia</w:t>
      </w:r>
      <w:r w:rsidRPr="00F632FC">
        <w:rPr>
          <w:rFonts w:ascii="Calibri" w:hAnsi="Calibri" w:cs="Calibri"/>
          <w:sz w:val="20"/>
          <w:szCs w:val="20"/>
        </w:rPr>
        <w:t xml:space="preserve"> po dobu až 7 dnů. Pro dlouhodobé skladování by měly být vzorky uchovávány při teplotě pod -20 </w:t>
      </w:r>
      <w:r>
        <w:rPr>
          <w:rFonts w:ascii="Calibri" w:hAnsi="Calibri" w:cs="Calibri"/>
          <w:sz w:val="20"/>
          <w:szCs w:val="20"/>
        </w:rPr>
        <w:t>stupňů</w:t>
      </w:r>
      <w:r w:rsidRPr="00F632FC">
        <w:rPr>
          <w:rFonts w:ascii="Calibri" w:hAnsi="Calibri" w:cs="Calibri"/>
          <w:sz w:val="20"/>
          <w:szCs w:val="20"/>
        </w:rPr>
        <w:t>.</w:t>
      </w:r>
    </w:p>
    <w:p w:rsidR="00385197" w:rsidRDefault="00385197" w:rsidP="00385197">
      <w:pPr>
        <w:pStyle w:val="Normlnweb"/>
        <w:rPr>
          <w:rFonts w:ascii="Calibri" w:hAnsi="Calibri" w:cs="Calibri"/>
          <w:sz w:val="20"/>
          <w:szCs w:val="20"/>
        </w:rPr>
      </w:pPr>
      <w:r w:rsidRPr="00F632FC">
        <w:rPr>
          <w:rFonts w:ascii="Calibri" w:hAnsi="Calibri" w:cs="Calibri"/>
          <w:sz w:val="20"/>
          <w:szCs w:val="20"/>
        </w:rPr>
        <w:t xml:space="preserve">Poznámka: Před zkouškou uveďte vzorky na pokojovou teplotu. Zmrazené vzorky musí být před testováním úplně rozmrazeny a dobře promíchány. Vzorky by neměly být opakovaně zmrazovány a rozmrazovány. Lze použít pouze čisté </w:t>
      </w:r>
      <w:proofErr w:type="spellStart"/>
      <w:r w:rsidRPr="00F632FC">
        <w:rPr>
          <w:rFonts w:ascii="Calibri" w:hAnsi="Calibri" w:cs="Calibri"/>
          <w:sz w:val="20"/>
          <w:szCs w:val="20"/>
        </w:rPr>
        <w:t>nehemolytické</w:t>
      </w:r>
      <w:proofErr w:type="spellEnd"/>
      <w:r w:rsidRPr="00F632FC">
        <w:rPr>
          <w:rFonts w:ascii="Calibri" w:hAnsi="Calibri" w:cs="Calibri"/>
          <w:sz w:val="20"/>
          <w:szCs w:val="20"/>
        </w:rPr>
        <w:t xml:space="preserve"> vzorky.</w:t>
      </w:r>
    </w:p>
    <w:p w:rsidR="00385197" w:rsidRPr="00050B33" w:rsidRDefault="00385197" w:rsidP="00385197">
      <w:pPr>
        <w:pStyle w:val="Normlnweb"/>
        <w:rPr>
          <w:rFonts w:ascii="Calibri" w:hAnsi="Calibri" w:cs="Calibri"/>
          <w:b/>
          <w:bCs/>
          <w:sz w:val="20"/>
          <w:szCs w:val="20"/>
        </w:rPr>
      </w:pPr>
      <w:r w:rsidRPr="00050B33">
        <w:rPr>
          <w:rFonts w:ascii="Calibri" w:hAnsi="Calibri" w:cs="Calibri"/>
          <w:b/>
          <w:bCs/>
          <w:sz w:val="20"/>
          <w:szCs w:val="20"/>
        </w:rPr>
        <w:t>Testovací proces</w:t>
      </w:r>
    </w:p>
    <w:p w:rsidR="00385197" w:rsidRPr="00385197" w:rsidRDefault="00385197" w:rsidP="00385197">
      <w:pPr>
        <w:pStyle w:val="Normlnweb"/>
        <w:rPr>
          <w:rFonts w:ascii="Calibri" w:hAnsi="Calibri" w:cs="Calibri"/>
          <w:sz w:val="20"/>
          <w:szCs w:val="20"/>
        </w:rPr>
      </w:pPr>
      <w:r w:rsidRPr="00385197">
        <w:rPr>
          <w:rFonts w:ascii="Calibri" w:hAnsi="Calibri" w:cs="Calibri"/>
          <w:sz w:val="20"/>
          <w:szCs w:val="20"/>
        </w:rPr>
        <w:t xml:space="preserve">Rychlý kvantitativní test </w:t>
      </w:r>
      <w:proofErr w:type="spellStart"/>
      <w:r w:rsidRPr="00385197">
        <w:rPr>
          <w:rFonts w:ascii="Calibri" w:hAnsi="Calibri" w:cs="Calibri"/>
          <w:sz w:val="20"/>
          <w:szCs w:val="20"/>
        </w:rPr>
        <w:t>FinecareTM</w:t>
      </w:r>
      <w:proofErr w:type="spellEnd"/>
      <w:r w:rsidRPr="00385197">
        <w:rPr>
          <w:rFonts w:ascii="Calibri" w:hAnsi="Calibri" w:cs="Calibri"/>
          <w:sz w:val="20"/>
          <w:szCs w:val="20"/>
        </w:rPr>
        <w:t xml:space="preserve"> TSH (hormon stimulující štítnou žlázu) </w:t>
      </w:r>
      <w:r>
        <w:rPr>
          <w:rFonts w:ascii="Calibri" w:hAnsi="Calibri" w:cs="Calibri"/>
          <w:sz w:val="20"/>
          <w:szCs w:val="20"/>
        </w:rPr>
        <w:t xml:space="preserve">pro </w:t>
      </w:r>
      <w:r w:rsidRPr="00385197">
        <w:rPr>
          <w:rFonts w:ascii="Calibri" w:hAnsi="Calibri" w:cs="Calibri"/>
          <w:sz w:val="20"/>
          <w:szCs w:val="20"/>
        </w:rPr>
        <w:t xml:space="preserve"> </w:t>
      </w:r>
      <w:proofErr w:type="spellStart"/>
      <w:r w:rsidRPr="00385197">
        <w:rPr>
          <w:rFonts w:ascii="Calibri" w:hAnsi="Calibri" w:cs="Calibri"/>
          <w:sz w:val="20"/>
          <w:szCs w:val="20"/>
        </w:rPr>
        <w:t>Finecare</w:t>
      </w:r>
      <w:proofErr w:type="spellEnd"/>
      <w:r w:rsidRPr="00385197">
        <w:rPr>
          <w:rFonts w:ascii="Calibri" w:hAnsi="Calibri" w:cs="Calibri"/>
          <w:sz w:val="20"/>
          <w:szCs w:val="20"/>
        </w:rPr>
        <w:t xml:space="preserve"> ™ FIA Meter.</w:t>
      </w:r>
    </w:p>
    <w:p w:rsidR="00385197" w:rsidRPr="00385197" w:rsidRDefault="00385197" w:rsidP="00385197">
      <w:pPr>
        <w:pStyle w:val="Normlnweb"/>
        <w:rPr>
          <w:rFonts w:ascii="Calibri" w:hAnsi="Calibri" w:cs="Calibri"/>
          <w:sz w:val="20"/>
          <w:szCs w:val="20"/>
        </w:rPr>
      </w:pPr>
      <w:r w:rsidRPr="00385197">
        <w:rPr>
          <w:rFonts w:ascii="Calibri" w:hAnsi="Calibri" w:cs="Calibri"/>
          <w:sz w:val="20"/>
          <w:szCs w:val="20"/>
        </w:rPr>
        <w:t xml:space="preserve">Úplné pokyny k použití testu naleznete v provozní příručce měřiče FIA </w:t>
      </w:r>
      <w:proofErr w:type="spellStart"/>
      <w:r w:rsidRPr="00385197">
        <w:rPr>
          <w:rFonts w:ascii="Calibri" w:hAnsi="Calibri" w:cs="Calibri"/>
          <w:sz w:val="20"/>
          <w:szCs w:val="20"/>
        </w:rPr>
        <w:t>Finecare</w:t>
      </w:r>
      <w:proofErr w:type="spellEnd"/>
      <w:r w:rsidRPr="00385197">
        <w:rPr>
          <w:rFonts w:ascii="Calibri" w:hAnsi="Calibri" w:cs="Calibri"/>
          <w:sz w:val="20"/>
          <w:szCs w:val="20"/>
        </w:rPr>
        <w:t xml:space="preserve"> ™ FIA. Zkouška by měla probíhat při pokojové teplotě.</w:t>
      </w:r>
    </w:p>
    <w:p w:rsidR="00385197" w:rsidRPr="00385197" w:rsidRDefault="00385197" w:rsidP="00385197">
      <w:pPr>
        <w:pStyle w:val="Normlnweb"/>
        <w:rPr>
          <w:rFonts w:ascii="Calibri" w:hAnsi="Calibri" w:cs="Calibri"/>
          <w:sz w:val="20"/>
          <w:szCs w:val="20"/>
        </w:rPr>
      </w:pPr>
      <w:r w:rsidRPr="00385197">
        <w:rPr>
          <w:rFonts w:ascii="Calibri" w:hAnsi="Calibri" w:cs="Calibri"/>
          <w:sz w:val="20"/>
          <w:szCs w:val="20"/>
        </w:rPr>
        <w:t>1. Umístěte zkušební zařízení na bezprašné čisté místo.</w:t>
      </w:r>
    </w:p>
    <w:p w:rsidR="00385197" w:rsidRPr="00385197" w:rsidRDefault="00385197" w:rsidP="00385197">
      <w:pPr>
        <w:pStyle w:val="Normlnweb"/>
        <w:rPr>
          <w:rFonts w:ascii="Calibri" w:hAnsi="Calibri" w:cs="Calibri"/>
          <w:sz w:val="20"/>
          <w:szCs w:val="20"/>
        </w:rPr>
      </w:pPr>
      <w:r w:rsidRPr="00385197">
        <w:rPr>
          <w:rFonts w:ascii="Calibri" w:hAnsi="Calibri" w:cs="Calibri"/>
          <w:sz w:val="20"/>
          <w:szCs w:val="20"/>
        </w:rPr>
        <w:t xml:space="preserve">2. Zkontrolujte a vložte ID čip na přístroj. Ujistěte se, že číslo </w:t>
      </w:r>
      <w:r>
        <w:rPr>
          <w:rFonts w:ascii="Calibri" w:hAnsi="Calibri" w:cs="Calibri"/>
          <w:sz w:val="20"/>
          <w:szCs w:val="20"/>
        </w:rPr>
        <w:t>šarže</w:t>
      </w:r>
      <w:r w:rsidRPr="00385197">
        <w:rPr>
          <w:rFonts w:ascii="Calibri" w:hAnsi="Calibri" w:cs="Calibri"/>
          <w:sz w:val="20"/>
          <w:szCs w:val="20"/>
        </w:rPr>
        <w:t xml:space="preserve"> odpovídá ID čipu</w:t>
      </w:r>
      <w:r>
        <w:rPr>
          <w:rFonts w:ascii="Calibri" w:hAnsi="Calibri" w:cs="Calibri"/>
          <w:sz w:val="20"/>
          <w:szCs w:val="20"/>
        </w:rPr>
        <w:t>.</w:t>
      </w:r>
    </w:p>
    <w:p w:rsidR="00385197" w:rsidRPr="00385197" w:rsidRDefault="00385197" w:rsidP="00385197">
      <w:pPr>
        <w:pStyle w:val="Normlnweb"/>
        <w:rPr>
          <w:rFonts w:ascii="Calibri" w:hAnsi="Calibri" w:cs="Calibri"/>
          <w:sz w:val="20"/>
          <w:szCs w:val="20"/>
        </w:rPr>
      </w:pPr>
      <w:r w:rsidRPr="00385197">
        <w:rPr>
          <w:rFonts w:ascii="Calibri" w:hAnsi="Calibri" w:cs="Calibri"/>
          <w:sz w:val="20"/>
          <w:szCs w:val="20"/>
        </w:rPr>
        <w:t xml:space="preserve">3. Natáhněte 75 </w:t>
      </w:r>
      <w:proofErr w:type="spellStart"/>
      <w:r w:rsidRPr="00385197">
        <w:rPr>
          <w:rFonts w:ascii="Calibri" w:hAnsi="Calibri" w:cs="Calibri"/>
          <w:sz w:val="20"/>
          <w:szCs w:val="20"/>
        </w:rPr>
        <w:t>μl</w:t>
      </w:r>
      <w:proofErr w:type="spellEnd"/>
      <w:r w:rsidRPr="00385197">
        <w:rPr>
          <w:rFonts w:ascii="Calibri" w:hAnsi="Calibri" w:cs="Calibri"/>
          <w:sz w:val="20"/>
          <w:szCs w:val="20"/>
        </w:rPr>
        <w:t xml:space="preserve"> plné krve / séra / plazmy pomocí přenosové pipety a přidejte ji</w:t>
      </w:r>
      <w:r>
        <w:rPr>
          <w:rFonts w:ascii="Calibri" w:hAnsi="Calibri" w:cs="Calibri"/>
          <w:sz w:val="20"/>
          <w:szCs w:val="20"/>
        </w:rPr>
        <w:t xml:space="preserve"> do nádobky s pufrem</w:t>
      </w:r>
      <w:r w:rsidRPr="00385197">
        <w:rPr>
          <w:rFonts w:ascii="Calibri" w:hAnsi="Calibri" w:cs="Calibri"/>
          <w:sz w:val="20"/>
          <w:szCs w:val="20"/>
        </w:rPr>
        <w:t>.</w:t>
      </w:r>
    </w:p>
    <w:p w:rsidR="00385197" w:rsidRPr="00385197" w:rsidRDefault="00385197" w:rsidP="00385197">
      <w:pPr>
        <w:pStyle w:val="Normlnweb"/>
        <w:rPr>
          <w:rFonts w:ascii="Calibri" w:hAnsi="Calibri" w:cs="Calibri"/>
          <w:sz w:val="20"/>
          <w:szCs w:val="20"/>
        </w:rPr>
      </w:pPr>
      <w:r w:rsidRPr="00385197">
        <w:rPr>
          <w:rFonts w:ascii="Calibri" w:hAnsi="Calibri" w:cs="Calibri"/>
          <w:sz w:val="20"/>
          <w:szCs w:val="20"/>
        </w:rPr>
        <w:t xml:space="preserve">4. Dobře promíchejte vzorek s pufrem po dobu jedné minuty </w:t>
      </w:r>
      <w:r>
        <w:rPr>
          <w:rFonts w:ascii="Calibri" w:hAnsi="Calibri" w:cs="Calibri"/>
          <w:sz w:val="20"/>
          <w:szCs w:val="20"/>
        </w:rPr>
        <w:t>protřepáním</w:t>
      </w:r>
      <w:r w:rsidRPr="00385197">
        <w:rPr>
          <w:rFonts w:ascii="Calibri" w:hAnsi="Calibri" w:cs="Calibri"/>
          <w:sz w:val="20"/>
          <w:szCs w:val="20"/>
        </w:rPr>
        <w:t xml:space="preserve"> nebo převrácením</w:t>
      </w:r>
    </w:p>
    <w:p w:rsidR="00385197" w:rsidRPr="00385197" w:rsidRDefault="00385197" w:rsidP="00385197">
      <w:pPr>
        <w:pStyle w:val="Normlnweb"/>
        <w:rPr>
          <w:rFonts w:ascii="Calibri" w:hAnsi="Calibri" w:cs="Calibri"/>
          <w:sz w:val="20"/>
          <w:szCs w:val="20"/>
        </w:rPr>
      </w:pPr>
      <w:r w:rsidRPr="00385197">
        <w:rPr>
          <w:rFonts w:ascii="Calibri" w:hAnsi="Calibri" w:cs="Calibri"/>
          <w:sz w:val="20"/>
          <w:szCs w:val="20"/>
        </w:rPr>
        <w:t>5. Odeb</w:t>
      </w:r>
      <w:r>
        <w:rPr>
          <w:rFonts w:ascii="Calibri" w:hAnsi="Calibri" w:cs="Calibri"/>
          <w:sz w:val="20"/>
          <w:szCs w:val="20"/>
        </w:rPr>
        <w:t>erte</w:t>
      </w:r>
      <w:r w:rsidRPr="00385197">
        <w:rPr>
          <w:rFonts w:ascii="Calibri" w:hAnsi="Calibri" w:cs="Calibri"/>
          <w:sz w:val="20"/>
          <w:szCs w:val="20"/>
        </w:rPr>
        <w:t xml:space="preserve"> 75 </w:t>
      </w:r>
      <w:proofErr w:type="spellStart"/>
      <w:r w:rsidRPr="00385197">
        <w:rPr>
          <w:rFonts w:ascii="Calibri" w:hAnsi="Calibri" w:cs="Calibri"/>
          <w:sz w:val="20"/>
          <w:szCs w:val="20"/>
        </w:rPr>
        <w:t>μl</w:t>
      </w:r>
      <w:proofErr w:type="spellEnd"/>
      <w:r w:rsidRPr="00385197">
        <w:rPr>
          <w:rFonts w:ascii="Calibri" w:hAnsi="Calibri" w:cs="Calibri"/>
          <w:sz w:val="20"/>
          <w:szCs w:val="20"/>
        </w:rPr>
        <w:t xml:space="preserve"> směsi vzorků </w:t>
      </w:r>
      <w:r>
        <w:rPr>
          <w:rFonts w:ascii="Calibri" w:hAnsi="Calibri" w:cs="Calibri"/>
          <w:sz w:val="20"/>
          <w:szCs w:val="20"/>
        </w:rPr>
        <w:t xml:space="preserve">a pufru </w:t>
      </w:r>
      <w:r w:rsidRPr="00385197">
        <w:rPr>
          <w:rFonts w:ascii="Calibri" w:hAnsi="Calibri" w:cs="Calibri"/>
          <w:sz w:val="20"/>
          <w:szCs w:val="20"/>
        </w:rPr>
        <w:t>a vlož</w:t>
      </w:r>
      <w:r>
        <w:rPr>
          <w:rFonts w:ascii="Calibri" w:hAnsi="Calibri" w:cs="Calibri"/>
          <w:sz w:val="20"/>
          <w:szCs w:val="20"/>
        </w:rPr>
        <w:t>te</w:t>
      </w:r>
      <w:r w:rsidRPr="00385197">
        <w:rPr>
          <w:rFonts w:ascii="Calibri" w:hAnsi="Calibri" w:cs="Calibri"/>
          <w:sz w:val="20"/>
          <w:szCs w:val="20"/>
        </w:rPr>
        <w:t xml:space="preserve"> ji do jamky </w:t>
      </w:r>
      <w:r>
        <w:rPr>
          <w:rFonts w:ascii="Calibri" w:hAnsi="Calibri" w:cs="Calibri"/>
          <w:sz w:val="20"/>
          <w:szCs w:val="20"/>
        </w:rPr>
        <w:t>na</w:t>
      </w:r>
      <w:r w:rsidRPr="00385197">
        <w:rPr>
          <w:rFonts w:ascii="Calibri" w:hAnsi="Calibri" w:cs="Calibri"/>
          <w:sz w:val="20"/>
          <w:szCs w:val="20"/>
        </w:rPr>
        <w:t xml:space="preserve"> test</w:t>
      </w:r>
      <w:r>
        <w:rPr>
          <w:rFonts w:ascii="Calibri" w:hAnsi="Calibri" w:cs="Calibri"/>
          <w:sz w:val="20"/>
          <w:szCs w:val="20"/>
        </w:rPr>
        <w:t>ovací kazetě</w:t>
      </w:r>
    </w:p>
    <w:p w:rsidR="00385197" w:rsidRPr="00385197" w:rsidRDefault="00385197" w:rsidP="00385197">
      <w:pPr>
        <w:pStyle w:val="Normlnweb"/>
        <w:rPr>
          <w:rFonts w:ascii="Calibri" w:hAnsi="Calibri" w:cs="Calibri"/>
          <w:sz w:val="20"/>
          <w:szCs w:val="20"/>
        </w:rPr>
      </w:pPr>
      <w:r w:rsidRPr="00385197">
        <w:rPr>
          <w:rFonts w:ascii="Calibri" w:hAnsi="Calibri" w:cs="Calibri"/>
          <w:sz w:val="20"/>
          <w:szCs w:val="20"/>
        </w:rPr>
        <w:t xml:space="preserve">6. Existují dva testovací režimy pro </w:t>
      </w:r>
      <w:proofErr w:type="spellStart"/>
      <w:r w:rsidRPr="00385197">
        <w:rPr>
          <w:rFonts w:ascii="Calibri" w:hAnsi="Calibri" w:cs="Calibri"/>
          <w:sz w:val="20"/>
          <w:szCs w:val="20"/>
        </w:rPr>
        <w:t>FinecareTM</w:t>
      </w:r>
      <w:proofErr w:type="spellEnd"/>
      <w:r w:rsidRPr="00385197">
        <w:rPr>
          <w:rFonts w:ascii="Calibri" w:hAnsi="Calibri" w:cs="Calibri"/>
          <w:sz w:val="20"/>
          <w:szCs w:val="20"/>
        </w:rPr>
        <w:t xml:space="preserve"> FIA Meter, standardní testovací režim a</w:t>
      </w:r>
    </w:p>
    <w:p w:rsidR="00385197" w:rsidRDefault="00385197" w:rsidP="00385197">
      <w:pPr>
        <w:pStyle w:val="Normlnweb"/>
        <w:rPr>
          <w:rFonts w:ascii="Calibri" w:hAnsi="Calibri" w:cs="Calibri"/>
          <w:sz w:val="20"/>
          <w:szCs w:val="20"/>
        </w:rPr>
      </w:pPr>
      <w:r w:rsidRPr="00385197">
        <w:rPr>
          <w:rFonts w:ascii="Calibri" w:hAnsi="Calibri" w:cs="Calibri"/>
          <w:sz w:val="20"/>
          <w:szCs w:val="20"/>
        </w:rPr>
        <w:t xml:space="preserve">Režim rychlého testu. Podrobnosti v uživatelské příručce měřiče </w:t>
      </w:r>
      <w:proofErr w:type="spellStart"/>
      <w:r w:rsidRPr="00385197">
        <w:rPr>
          <w:rFonts w:ascii="Calibri" w:hAnsi="Calibri" w:cs="Calibri"/>
          <w:sz w:val="20"/>
          <w:szCs w:val="20"/>
        </w:rPr>
        <w:t>FinecareTM</w:t>
      </w:r>
      <w:proofErr w:type="spellEnd"/>
      <w:r w:rsidRPr="00385197">
        <w:rPr>
          <w:rFonts w:ascii="Calibri" w:hAnsi="Calibri" w:cs="Calibri"/>
          <w:sz w:val="20"/>
          <w:szCs w:val="20"/>
        </w:rPr>
        <w:t xml:space="preserve"> FIA. </w:t>
      </w:r>
    </w:p>
    <w:p w:rsidR="00385197" w:rsidRDefault="00385197" w:rsidP="00385197">
      <w:pPr>
        <w:pStyle w:val="Normlnweb"/>
        <w:rPr>
          <w:rFonts w:ascii="Calibri" w:hAnsi="Calibri" w:cs="Calibri"/>
          <w:sz w:val="20"/>
          <w:szCs w:val="20"/>
        </w:rPr>
      </w:pPr>
      <w:r w:rsidRPr="00385197">
        <w:rPr>
          <w:rFonts w:ascii="Calibri" w:hAnsi="Calibri" w:cs="Calibri"/>
          <w:sz w:val="20"/>
          <w:szCs w:val="20"/>
        </w:rPr>
        <w:t xml:space="preserve">Pro režim Standard Test: Pokud vyberete režim Standard Test, okamžitě vložte testovací </w:t>
      </w:r>
      <w:r>
        <w:rPr>
          <w:rFonts w:ascii="Calibri" w:hAnsi="Calibri" w:cs="Calibri"/>
          <w:sz w:val="20"/>
          <w:szCs w:val="20"/>
        </w:rPr>
        <w:t>kazetu</w:t>
      </w:r>
      <w:r w:rsidRPr="00385197">
        <w:rPr>
          <w:rFonts w:ascii="Calibri" w:hAnsi="Calibri" w:cs="Calibri"/>
          <w:sz w:val="20"/>
          <w:szCs w:val="20"/>
        </w:rPr>
        <w:t xml:space="preserve"> do držáku testovacího zařízení </w:t>
      </w:r>
      <w:proofErr w:type="spellStart"/>
      <w:r w:rsidRPr="00385197">
        <w:rPr>
          <w:rFonts w:ascii="Calibri" w:hAnsi="Calibri" w:cs="Calibri"/>
          <w:sz w:val="20"/>
          <w:szCs w:val="20"/>
        </w:rPr>
        <w:t>Finecare</w:t>
      </w:r>
      <w:proofErr w:type="spellEnd"/>
      <w:r w:rsidRPr="00385197">
        <w:rPr>
          <w:rFonts w:ascii="Calibri" w:hAnsi="Calibri" w:cs="Calibri"/>
          <w:sz w:val="20"/>
          <w:szCs w:val="20"/>
        </w:rPr>
        <w:t xml:space="preserve"> ™ FIA Meter hned po přidání směsi vzorků do jamky vzorku a klikněte na „Test“.</w:t>
      </w:r>
    </w:p>
    <w:p w:rsidR="00385197" w:rsidRPr="00385197" w:rsidRDefault="00385197" w:rsidP="00385197">
      <w:pPr>
        <w:pStyle w:val="Normlnweb"/>
        <w:rPr>
          <w:rFonts w:ascii="Calibri" w:hAnsi="Calibri" w:cs="Calibri"/>
          <w:sz w:val="20"/>
          <w:szCs w:val="20"/>
        </w:rPr>
      </w:pPr>
      <w:r w:rsidRPr="00385197">
        <w:rPr>
          <w:rFonts w:ascii="Calibri" w:hAnsi="Calibri" w:cs="Calibri"/>
          <w:sz w:val="20"/>
          <w:szCs w:val="20"/>
        </w:rPr>
        <w:t xml:space="preserve">Pro režim rychlého testu: Pokud vyberete režim rychlého testu, spusťte časovač ihned po přidání směsi vzorků do jamky vzorku a ponechte zkušební zařízení při pokojové teplotě po dobu 15 minut. Poté okamžitě vložte testovací zařízení do držáku měřiče </w:t>
      </w:r>
      <w:proofErr w:type="spellStart"/>
      <w:r w:rsidRPr="00385197">
        <w:rPr>
          <w:rFonts w:ascii="Calibri" w:hAnsi="Calibri" w:cs="Calibri"/>
          <w:sz w:val="20"/>
          <w:szCs w:val="20"/>
        </w:rPr>
        <w:t>Finecare</w:t>
      </w:r>
      <w:proofErr w:type="spellEnd"/>
      <w:r w:rsidRPr="00385197">
        <w:rPr>
          <w:rFonts w:ascii="Calibri" w:hAnsi="Calibri" w:cs="Calibri"/>
          <w:sz w:val="20"/>
          <w:szCs w:val="20"/>
        </w:rPr>
        <w:t xml:space="preserve"> ™ FIA Meter a klikněte na „Test“. Přístroj začne okamžitě skenovat testovací </w:t>
      </w:r>
      <w:r>
        <w:rPr>
          <w:rFonts w:ascii="Calibri" w:hAnsi="Calibri" w:cs="Calibri"/>
          <w:sz w:val="20"/>
          <w:szCs w:val="20"/>
        </w:rPr>
        <w:t>kazetu</w:t>
      </w:r>
      <w:r w:rsidRPr="00385197">
        <w:rPr>
          <w:rFonts w:ascii="Calibri" w:hAnsi="Calibri" w:cs="Calibri"/>
          <w:sz w:val="20"/>
          <w:szCs w:val="20"/>
        </w:rPr>
        <w:t>.</w:t>
      </w:r>
    </w:p>
    <w:p w:rsidR="00385197" w:rsidRPr="00385197" w:rsidRDefault="00385197" w:rsidP="00385197">
      <w:pPr>
        <w:pStyle w:val="Normlnweb"/>
        <w:rPr>
          <w:rFonts w:ascii="Calibri" w:hAnsi="Calibri" w:cs="Calibri"/>
          <w:sz w:val="20"/>
          <w:szCs w:val="20"/>
        </w:rPr>
      </w:pPr>
      <w:r w:rsidRPr="00385197">
        <w:rPr>
          <w:rFonts w:ascii="Calibri" w:hAnsi="Calibri" w:cs="Calibri"/>
          <w:sz w:val="20"/>
          <w:szCs w:val="20"/>
        </w:rPr>
        <w:t xml:space="preserve">7. Přečtěte si výsledky na displeji přístroje </w:t>
      </w:r>
      <w:proofErr w:type="spellStart"/>
      <w:r w:rsidRPr="00385197">
        <w:rPr>
          <w:rFonts w:ascii="Calibri" w:hAnsi="Calibri" w:cs="Calibri"/>
          <w:sz w:val="20"/>
          <w:szCs w:val="20"/>
        </w:rPr>
        <w:t>Finecare</w:t>
      </w:r>
      <w:proofErr w:type="spellEnd"/>
      <w:r w:rsidRPr="00385197">
        <w:rPr>
          <w:rFonts w:ascii="Calibri" w:hAnsi="Calibri" w:cs="Calibri"/>
          <w:sz w:val="20"/>
          <w:szCs w:val="20"/>
        </w:rPr>
        <w:t xml:space="preserve"> ™ FIA Meter.</w:t>
      </w:r>
    </w:p>
    <w:p w:rsidR="00FE2171" w:rsidRDefault="00FE2171" w:rsidP="00385197">
      <w:pPr>
        <w:pStyle w:val="Normlnweb"/>
        <w:rPr>
          <w:rFonts w:ascii="Calibri" w:hAnsi="Calibri" w:cs="Calibri"/>
          <w:b/>
          <w:bCs/>
          <w:sz w:val="20"/>
          <w:szCs w:val="20"/>
        </w:rPr>
      </w:pPr>
    </w:p>
    <w:p w:rsidR="00FE2171" w:rsidRDefault="00FE2171" w:rsidP="00385197">
      <w:pPr>
        <w:pStyle w:val="Normlnweb"/>
        <w:rPr>
          <w:rFonts w:ascii="Calibri" w:hAnsi="Calibri" w:cs="Calibri"/>
          <w:b/>
          <w:bCs/>
          <w:sz w:val="20"/>
          <w:szCs w:val="20"/>
        </w:rPr>
      </w:pPr>
    </w:p>
    <w:p w:rsidR="00FE2171" w:rsidRDefault="00FE2171" w:rsidP="00385197">
      <w:pPr>
        <w:pStyle w:val="Normlnweb"/>
        <w:rPr>
          <w:rFonts w:ascii="Calibri" w:hAnsi="Calibri" w:cs="Calibri"/>
          <w:b/>
          <w:bCs/>
          <w:sz w:val="20"/>
          <w:szCs w:val="20"/>
        </w:rPr>
      </w:pPr>
    </w:p>
    <w:p w:rsidR="00FE2171" w:rsidRDefault="00FE2171" w:rsidP="00385197">
      <w:pPr>
        <w:pStyle w:val="Normlnweb"/>
        <w:rPr>
          <w:rFonts w:ascii="Calibri" w:hAnsi="Calibri" w:cs="Calibri"/>
          <w:b/>
          <w:bCs/>
          <w:sz w:val="20"/>
          <w:szCs w:val="20"/>
        </w:rPr>
      </w:pPr>
    </w:p>
    <w:p w:rsidR="00FE2171" w:rsidRDefault="00FE2171" w:rsidP="00385197">
      <w:pPr>
        <w:pStyle w:val="Normlnweb"/>
        <w:rPr>
          <w:rFonts w:ascii="Calibri" w:hAnsi="Calibri" w:cs="Calibri"/>
          <w:b/>
          <w:bCs/>
          <w:sz w:val="20"/>
          <w:szCs w:val="20"/>
        </w:rPr>
      </w:pPr>
    </w:p>
    <w:p w:rsidR="00FE2171" w:rsidRDefault="00FE2171" w:rsidP="00385197">
      <w:pPr>
        <w:pStyle w:val="Normlnweb"/>
        <w:rPr>
          <w:rFonts w:ascii="Calibri" w:hAnsi="Calibri" w:cs="Calibri"/>
          <w:b/>
          <w:bCs/>
          <w:sz w:val="20"/>
          <w:szCs w:val="20"/>
        </w:rPr>
      </w:pPr>
    </w:p>
    <w:p w:rsidR="00FE2171" w:rsidRDefault="00FE2171" w:rsidP="00385197">
      <w:pPr>
        <w:pStyle w:val="Normlnweb"/>
        <w:rPr>
          <w:rFonts w:ascii="Calibri" w:hAnsi="Calibri" w:cs="Calibri"/>
          <w:b/>
          <w:bCs/>
          <w:sz w:val="20"/>
          <w:szCs w:val="20"/>
        </w:rPr>
      </w:pPr>
    </w:p>
    <w:p w:rsidR="00385197" w:rsidRPr="00F632FC" w:rsidRDefault="00385197" w:rsidP="00385197">
      <w:pPr>
        <w:pStyle w:val="Normlnweb"/>
        <w:rPr>
          <w:rFonts w:ascii="Calibri" w:hAnsi="Calibri" w:cs="Calibri"/>
          <w:b/>
          <w:bCs/>
          <w:sz w:val="20"/>
          <w:szCs w:val="20"/>
        </w:rPr>
      </w:pPr>
      <w:r w:rsidRPr="00F632FC">
        <w:rPr>
          <w:rFonts w:ascii="Calibri" w:hAnsi="Calibri" w:cs="Calibri"/>
          <w:b/>
          <w:bCs/>
          <w:sz w:val="20"/>
          <w:szCs w:val="20"/>
        </w:rPr>
        <w:lastRenderedPageBreak/>
        <w:t>Interpretace výsledků</w:t>
      </w:r>
    </w:p>
    <w:p w:rsidR="00385197" w:rsidRPr="00385197" w:rsidRDefault="00385197" w:rsidP="00385197">
      <w:pPr>
        <w:pStyle w:val="Normlnweb"/>
        <w:rPr>
          <w:rFonts w:ascii="Calibri" w:hAnsi="Calibri" w:cs="Calibri"/>
          <w:sz w:val="20"/>
          <w:szCs w:val="20"/>
        </w:rPr>
      </w:pPr>
      <w:r w:rsidRPr="00385197">
        <w:rPr>
          <w:rFonts w:ascii="Calibri" w:hAnsi="Calibri" w:cs="Calibri"/>
          <w:sz w:val="20"/>
          <w:szCs w:val="20"/>
        </w:rPr>
        <w:t xml:space="preserve">Měřič </w:t>
      </w:r>
      <w:proofErr w:type="spellStart"/>
      <w:r w:rsidRPr="00385197">
        <w:rPr>
          <w:rFonts w:ascii="Calibri" w:hAnsi="Calibri" w:cs="Calibri"/>
          <w:sz w:val="20"/>
          <w:szCs w:val="20"/>
        </w:rPr>
        <w:t>FinecareTM</w:t>
      </w:r>
      <w:proofErr w:type="spellEnd"/>
      <w:r w:rsidRPr="00385197">
        <w:rPr>
          <w:rFonts w:ascii="Calibri" w:hAnsi="Calibri" w:cs="Calibri"/>
          <w:sz w:val="20"/>
          <w:szCs w:val="20"/>
        </w:rPr>
        <w:t xml:space="preserve"> FIA počítá výsledky TSH automaticky a zobrazuje koncentraci TSH na obrazovce jako XX.X </w:t>
      </w:r>
      <w:proofErr w:type="spellStart"/>
      <w:r w:rsidRPr="00385197">
        <w:rPr>
          <w:rFonts w:ascii="Calibri" w:hAnsi="Calibri" w:cs="Calibri"/>
          <w:sz w:val="20"/>
          <w:szCs w:val="20"/>
        </w:rPr>
        <w:t>mIU</w:t>
      </w:r>
      <w:proofErr w:type="spellEnd"/>
      <w:r w:rsidRPr="00385197">
        <w:rPr>
          <w:rFonts w:ascii="Calibri" w:hAnsi="Calibri" w:cs="Calibri"/>
          <w:sz w:val="20"/>
          <w:szCs w:val="20"/>
        </w:rPr>
        <w:t xml:space="preserve"> / l. Další informace naleznete v návodu k obsluze měřiče </w:t>
      </w:r>
      <w:proofErr w:type="spellStart"/>
      <w:r w:rsidRPr="00385197">
        <w:rPr>
          <w:rFonts w:ascii="Calibri" w:hAnsi="Calibri" w:cs="Calibri"/>
          <w:sz w:val="20"/>
          <w:szCs w:val="20"/>
        </w:rPr>
        <w:t>Finecare</w:t>
      </w:r>
      <w:proofErr w:type="spellEnd"/>
      <w:r w:rsidRPr="00385197">
        <w:rPr>
          <w:rFonts w:ascii="Calibri" w:hAnsi="Calibri" w:cs="Calibri"/>
          <w:sz w:val="20"/>
          <w:szCs w:val="20"/>
        </w:rPr>
        <w:t xml:space="preserve"> ™ FIA.</w:t>
      </w:r>
    </w:p>
    <w:p w:rsidR="00385197" w:rsidRPr="00385197" w:rsidRDefault="00385197" w:rsidP="00385197">
      <w:pPr>
        <w:pStyle w:val="Normlnweb"/>
        <w:rPr>
          <w:rFonts w:ascii="Calibri" w:hAnsi="Calibri" w:cs="Calibri"/>
          <w:sz w:val="20"/>
          <w:szCs w:val="20"/>
        </w:rPr>
      </w:pPr>
      <w:r w:rsidRPr="00385197">
        <w:rPr>
          <w:rFonts w:ascii="Calibri" w:hAnsi="Calibri" w:cs="Calibri"/>
          <w:sz w:val="20"/>
          <w:szCs w:val="20"/>
        </w:rPr>
        <w:t xml:space="preserve">Referenční hodnota: 0,3 ~ 4,2 </w:t>
      </w:r>
      <w:proofErr w:type="spellStart"/>
      <w:r w:rsidRPr="00385197">
        <w:rPr>
          <w:rFonts w:ascii="Calibri" w:hAnsi="Calibri" w:cs="Calibri"/>
          <w:sz w:val="20"/>
          <w:szCs w:val="20"/>
        </w:rPr>
        <w:t>mIU</w:t>
      </w:r>
      <w:proofErr w:type="spellEnd"/>
      <w:r w:rsidRPr="00385197">
        <w:rPr>
          <w:rFonts w:ascii="Calibri" w:hAnsi="Calibri" w:cs="Calibri"/>
          <w:sz w:val="20"/>
          <w:szCs w:val="20"/>
        </w:rPr>
        <w:t xml:space="preserve"> / l</w:t>
      </w:r>
    </w:p>
    <w:p w:rsidR="00385197" w:rsidRDefault="00385197" w:rsidP="00385197">
      <w:pPr>
        <w:pStyle w:val="Normlnweb"/>
        <w:rPr>
          <w:rFonts w:ascii="Calibri" w:hAnsi="Calibri" w:cs="Calibri"/>
          <w:sz w:val="20"/>
          <w:szCs w:val="20"/>
        </w:rPr>
      </w:pPr>
      <w:r w:rsidRPr="00385197">
        <w:rPr>
          <w:rFonts w:ascii="Calibri" w:hAnsi="Calibri" w:cs="Calibri"/>
          <w:sz w:val="20"/>
          <w:szCs w:val="20"/>
        </w:rPr>
        <w:t>Poznámka: Doporučuje, aby každá laboratoř sestavila svůj vlastní referenční rozsah podle skutečné situace</w:t>
      </w:r>
      <w:r w:rsidRPr="00F632FC">
        <w:rPr>
          <w:rFonts w:ascii="Calibri" w:hAnsi="Calibri" w:cs="Calibri"/>
          <w:sz w:val="20"/>
          <w:szCs w:val="20"/>
        </w:rPr>
        <w:t>.</w:t>
      </w:r>
    </w:p>
    <w:p w:rsidR="00385197" w:rsidRDefault="00385197" w:rsidP="00385197">
      <w:pPr>
        <w:pStyle w:val="Normlnweb"/>
        <w:rPr>
          <w:rFonts w:ascii="Calibri" w:hAnsi="Calibri" w:cs="Calibri"/>
          <w:sz w:val="20"/>
          <w:szCs w:val="20"/>
        </w:rPr>
      </w:pPr>
    </w:p>
    <w:p w:rsidR="00385197" w:rsidRPr="00F632FC" w:rsidRDefault="00385197" w:rsidP="00385197">
      <w:pPr>
        <w:pStyle w:val="Normlnweb"/>
        <w:rPr>
          <w:rFonts w:ascii="Calibri" w:hAnsi="Calibri" w:cs="Calibri"/>
          <w:b/>
          <w:bCs/>
          <w:sz w:val="20"/>
          <w:szCs w:val="20"/>
        </w:rPr>
      </w:pPr>
      <w:r w:rsidRPr="00F632FC">
        <w:rPr>
          <w:rFonts w:ascii="Calibri" w:hAnsi="Calibri" w:cs="Calibri"/>
          <w:b/>
          <w:bCs/>
          <w:sz w:val="20"/>
          <w:szCs w:val="20"/>
        </w:rPr>
        <w:t>Kontrola kvality</w:t>
      </w:r>
    </w:p>
    <w:p w:rsidR="00385197" w:rsidRDefault="00385197" w:rsidP="00385197">
      <w:pPr>
        <w:pStyle w:val="Normlnweb"/>
        <w:rPr>
          <w:rFonts w:ascii="Calibri" w:hAnsi="Calibri" w:cs="Calibri"/>
          <w:sz w:val="20"/>
          <w:szCs w:val="20"/>
        </w:rPr>
      </w:pPr>
      <w:r w:rsidRPr="00385197">
        <w:rPr>
          <w:rFonts w:ascii="Calibri" w:hAnsi="Calibri" w:cs="Calibri"/>
          <w:sz w:val="20"/>
          <w:szCs w:val="20"/>
        </w:rPr>
        <w:t>Každ</w:t>
      </w:r>
      <w:r>
        <w:rPr>
          <w:rFonts w:ascii="Calibri" w:hAnsi="Calibri" w:cs="Calibri"/>
          <w:sz w:val="20"/>
          <w:szCs w:val="20"/>
        </w:rPr>
        <w:t xml:space="preserve">á </w:t>
      </w:r>
      <w:r w:rsidRPr="00385197">
        <w:rPr>
          <w:rFonts w:ascii="Calibri" w:hAnsi="Calibri" w:cs="Calibri"/>
          <w:sz w:val="20"/>
          <w:szCs w:val="20"/>
        </w:rPr>
        <w:t xml:space="preserve">testovací </w:t>
      </w:r>
      <w:r>
        <w:rPr>
          <w:rFonts w:ascii="Calibri" w:hAnsi="Calibri" w:cs="Calibri"/>
          <w:sz w:val="20"/>
          <w:szCs w:val="20"/>
        </w:rPr>
        <w:t>kazeta</w:t>
      </w:r>
      <w:r w:rsidRPr="00385197">
        <w:rPr>
          <w:rFonts w:ascii="Calibri" w:hAnsi="Calibri" w:cs="Calibri"/>
          <w:sz w:val="20"/>
          <w:szCs w:val="20"/>
        </w:rPr>
        <w:t xml:space="preserve"> </w:t>
      </w:r>
      <w:proofErr w:type="spellStart"/>
      <w:r w:rsidRPr="00385197">
        <w:rPr>
          <w:rFonts w:ascii="Calibri" w:hAnsi="Calibri" w:cs="Calibri"/>
          <w:sz w:val="20"/>
          <w:szCs w:val="20"/>
        </w:rPr>
        <w:t>FinecareTM</w:t>
      </w:r>
      <w:proofErr w:type="spellEnd"/>
      <w:r w:rsidRPr="00385197">
        <w:rPr>
          <w:rFonts w:ascii="Calibri" w:hAnsi="Calibri" w:cs="Calibri"/>
          <w:sz w:val="20"/>
          <w:szCs w:val="20"/>
        </w:rPr>
        <w:t xml:space="preserve"> TSH (hormonu stimulující štítnou žlázu) obsahuje vnitřní kontrolu, která splňuje požadavky na kontrolu kvality. Tato vnitřní kontrola se provádí pokaždé, když je testován vzorek pacienta. Tento ovládací prvek indikuje, že testovací zařízení bylo vloženo a správně přečteno měřičem </w:t>
      </w:r>
      <w:proofErr w:type="spellStart"/>
      <w:r w:rsidRPr="00385197">
        <w:rPr>
          <w:rFonts w:ascii="Calibri" w:hAnsi="Calibri" w:cs="Calibri"/>
          <w:sz w:val="20"/>
          <w:szCs w:val="20"/>
        </w:rPr>
        <w:t>Finecare</w:t>
      </w:r>
      <w:proofErr w:type="spellEnd"/>
      <w:r w:rsidRPr="00385197">
        <w:rPr>
          <w:rFonts w:ascii="Calibri" w:hAnsi="Calibri" w:cs="Calibri"/>
          <w:sz w:val="20"/>
          <w:szCs w:val="20"/>
        </w:rPr>
        <w:t xml:space="preserve"> ™ FIA. Neplatný výsledek z interní kontroly způsobí chybové hlášení na měřiči </w:t>
      </w:r>
      <w:proofErr w:type="spellStart"/>
      <w:r w:rsidRPr="00385197">
        <w:rPr>
          <w:rFonts w:ascii="Calibri" w:hAnsi="Calibri" w:cs="Calibri"/>
          <w:sz w:val="20"/>
          <w:szCs w:val="20"/>
        </w:rPr>
        <w:t>FinecareTM</w:t>
      </w:r>
      <w:proofErr w:type="spellEnd"/>
      <w:r w:rsidRPr="00385197">
        <w:rPr>
          <w:rFonts w:ascii="Calibri" w:hAnsi="Calibri" w:cs="Calibri"/>
          <w:sz w:val="20"/>
          <w:szCs w:val="20"/>
        </w:rPr>
        <w:t xml:space="preserve"> FIA indikující, že test by měl být opakován. </w:t>
      </w:r>
    </w:p>
    <w:p w:rsidR="00385197" w:rsidRPr="00BB24C1" w:rsidRDefault="00385197" w:rsidP="00385197">
      <w:pPr>
        <w:pStyle w:val="Normlnweb"/>
        <w:rPr>
          <w:rFonts w:ascii="Calibri" w:hAnsi="Calibri" w:cs="Calibri"/>
          <w:b/>
          <w:bCs/>
          <w:sz w:val="20"/>
          <w:szCs w:val="20"/>
        </w:rPr>
      </w:pPr>
      <w:r w:rsidRPr="00BB24C1">
        <w:rPr>
          <w:rFonts w:ascii="Calibri" w:hAnsi="Calibri" w:cs="Calibri"/>
          <w:b/>
          <w:bCs/>
          <w:sz w:val="20"/>
          <w:szCs w:val="20"/>
        </w:rPr>
        <w:t>Omezení</w:t>
      </w:r>
    </w:p>
    <w:p w:rsidR="00385197" w:rsidRPr="00385197" w:rsidRDefault="00385197" w:rsidP="00385197">
      <w:pPr>
        <w:pStyle w:val="Normlnweb"/>
        <w:rPr>
          <w:rFonts w:ascii="Calibri" w:hAnsi="Calibri" w:cs="Calibri"/>
          <w:sz w:val="20"/>
          <w:szCs w:val="20"/>
        </w:rPr>
      </w:pPr>
      <w:r w:rsidRPr="00385197">
        <w:rPr>
          <w:rFonts w:ascii="Calibri" w:hAnsi="Calibri" w:cs="Calibri"/>
          <w:sz w:val="20"/>
          <w:szCs w:val="20"/>
        </w:rPr>
        <w:t>1. Tento test byl vyvinut pouze pro testování plné lidské krve, séra a plazmy.</w:t>
      </w:r>
    </w:p>
    <w:p w:rsidR="00385197" w:rsidRPr="00385197" w:rsidRDefault="00385197" w:rsidP="00385197">
      <w:pPr>
        <w:pStyle w:val="Normlnweb"/>
        <w:rPr>
          <w:rFonts w:ascii="Calibri" w:hAnsi="Calibri" w:cs="Calibri"/>
          <w:sz w:val="20"/>
          <w:szCs w:val="20"/>
        </w:rPr>
      </w:pPr>
      <w:r w:rsidRPr="00385197">
        <w:rPr>
          <w:rFonts w:ascii="Calibri" w:hAnsi="Calibri" w:cs="Calibri"/>
          <w:sz w:val="20"/>
          <w:szCs w:val="20"/>
        </w:rPr>
        <w:t xml:space="preserve">2. Výsledky rychlého kvantitativního testu </w:t>
      </w:r>
      <w:proofErr w:type="spellStart"/>
      <w:r w:rsidRPr="00385197">
        <w:rPr>
          <w:rFonts w:ascii="Calibri" w:hAnsi="Calibri" w:cs="Calibri"/>
          <w:sz w:val="20"/>
          <w:szCs w:val="20"/>
        </w:rPr>
        <w:t>Finecare</w:t>
      </w:r>
      <w:proofErr w:type="spellEnd"/>
      <w:r w:rsidRPr="00385197">
        <w:rPr>
          <w:rFonts w:ascii="Calibri" w:hAnsi="Calibri" w:cs="Calibri"/>
          <w:sz w:val="20"/>
          <w:szCs w:val="20"/>
        </w:rPr>
        <w:t xml:space="preserve"> ™ TSH (hormonu stimulujícího štítnou žlázu) by měly být vyhodnoceny se všemi dostupnými klinickými a laboratorními údaji. Pokud výsledky testů TSH nesouhlasí s klinickým hodnocením, měly by být provedeny další testy.</w:t>
      </w:r>
    </w:p>
    <w:p w:rsidR="00385197" w:rsidRPr="00385197" w:rsidRDefault="00385197" w:rsidP="00385197">
      <w:pPr>
        <w:pStyle w:val="Normlnweb"/>
        <w:rPr>
          <w:rFonts w:ascii="Calibri" w:hAnsi="Calibri" w:cs="Calibri"/>
          <w:sz w:val="20"/>
          <w:szCs w:val="20"/>
        </w:rPr>
      </w:pPr>
      <w:r w:rsidRPr="00385197">
        <w:rPr>
          <w:rFonts w:ascii="Calibri" w:hAnsi="Calibri" w:cs="Calibri"/>
          <w:sz w:val="20"/>
          <w:szCs w:val="20"/>
        </w:rPr>
        <w:t xml:space="preserve">3. K falešně pozitivním výsledkům patří zkřížené reakce s některými složkami plné krve od jedince k protilátkám; a nespecifická adheze některých složek v plné lidské krvi, které mají podobné epitopy pro zachycení a detekci protilátek. V případě falešně negativních výsledků jsou nejběžnějšími faktory: </w:t>
      </w:r>
      <w:proofErr w:type="spellStart"/>
      <w:r w:rsidRPr="00385197">
        <w:rPr>
          <w:rFonts w:ascii="Calibri" w:hAnsi="Calibri" w:cs="Calibri"/>
          <w:sz w:val="20"/>
          <w:szCs w:val="20"/>
        </w:rPr>
        <w:t>nereaktivita</w:t>
      </w:r>
      <w:proofErr w:type="spellEnd"/>
      <w:r w:rsidRPr="00385197">
        <w:rPr>
          <w:rFonts w:ascii="Calibri" w:hAnsi="Calibri" w:cs="Calibri"/>
          <w:sz w:val="20"/>
          <w:szCs w:val="20"/>
        </w:rPr>
        <w:t xml:space="preserve"> antigenu na protilátky tím, že určité neznámé složky maskují jeho epitop, takže antigen nemůže protilátky vidět; nestabilita TSH antigenu, což má za následek degradaci v čase a / nebo teplotě tak, že se už nerozeznávají protilátkami; a degradoval další komponenty testu. Účinnost testu je vysoce závislá na skladování souprav a vzorků </w:t>
      </w:r>
      <w:proofErr w:type="spellStart"/>
      <w:r w:rsidRPr="00385197">
        <w:rPr>
          <w:rFonts w:ascii="Calibri" w:hAnsi="Calibri" w:cs="Calibri"/>
          <w:sz w:val="20"/>
          <w:szCs w:val="20"/>
        </w:rPr>
        <w:t>vzorků</w:t>
      </w:r>
      <w:proofErr w:type="spellEnd"/>
      <w:r w:rsidRPr="00385197">
        <w:rPr>
          <w:rFonts w:ascii="Calibri" w:hAnsi="Calibri" w:cs="Calibri"/>
          <w:sz w:val="20"/>
          <w:szCs w:val="20"/>
        </w:rPr>
        <w:t xml:space="preserve"> v optimálních podmínkách.</w:t>
      </w:r>
    </w:p>
    <w:p w:rsidR="00385197" w:rsidRPr="00385197" w:rsidRDefault="00385197" w:rsidP="00385197">
      <w:pPr>
        <w:pStyle w:val="Normlnweb"/>
        <w:rPr>
          <w:rFonts w:ascii="Calibri" w:hAnsi="Calibri" w:cs="Calibri"/>
          <w:sz w:val="20"/>
          <w:szCs w:val="20"/>
        </w:rPr>
      </w:pPr>
      <w:r w:rsidRPr="00385197">
        <w:rPr>
          <w:rFonts w:ascii="Calibri" w:hAnsi="Calibri" w:cs="Calibri"/>
          <w:sz w:val="20"/>
          <w:szCs w:val="20"/>
        </w:rPr>
        <w:t xml:space="preserve">4. Další faktory mohou interferovat s </w:t>
      </w:r>
      <w:proofErr w:type="spellStart"/>
      <w:r w:rsidRPr="00385197">
        <w:rPr>
          <w:rFonts w:ascii="Calibri" w:hAnsi="Calibri" w:cs="Calibri"/>
          <w:sz w:val="20"/>
          <w:szCs w:val="20"/>
        </w:rPr>
        <w:t>FinecareTM</w:t>
      </w:r>
      <w:proofErr w:type="spellEnd"/>
      <w:r w:rsidRPr="00385197">
        <w:rPr>
          <w:rFonts w:ascii="Calibri" w:hAnsi="Calibri" w:cs="Calibri"/>
          <w:sz w:val="20"/>
          <w:szCs w:val="20"/>
        </w:rPr>
        <w:t xml:space="preserve"> TSH Rychlý kvantitativní test a může způsobit chybné výsledky. Patří sem technické nebo procedurální chyby a další látky ve vzorcích krve.</w:t>
      </w:r>
      <w:r w:rsidRPr="00385197">
        <w:rPr>
          <w:rFonts w:ascii="Calibri" w:hAnsi="Calibri" w:cs="Calibri"/>
          <w:b/>
          <w:bCs/>
          <w:sz w:val="20"/>
          <w:szCs w:val="20"/>
        </w:rPr>
        <w:t xml:space="preserve"> </w:t>
      </w:r>
    </w:p>
    <w:p w:rsidR="00BB24C1" w:rsidRPr="00BB24C1" w:rsidRDefault="00BB24C1" w:rsidP="00385197">
      <w:pPr>
        <w:pStyle w:val="Normlnweb"/>
        <w:rPr>
          <w:rFonts w:ascii="Calibri" w:hAnsi="Calibri" w:cs="Calibri"/>
          <w:b/>
          <w:bCs/>
          <w:sz w:val="20"/>
          <w:szCs w:val="20"/>
        </w:rPr>
      </w:pPr>
      <w:r w:rsidRPr="00BB24C1">
        <w:rPr>
          <w:rFonts w:ascii="Calibri" w:hAnsi="Calibri" w:cs="Calibri"/>
          <w:b/>
          <w:bCs/>
          <w:sz w:val="20"/>
          <w:szCs w:val="20"/>
        </w:rPr>
        <w:t>Přesnost</w:t>
      </w:r>
    </w:p>
    <w:p w:rsidR="00AD4EED" w:rsidRPr="00AD4EED" w:rsidRDefault="00AD4EED" w:rsidP="00AD4EED">
      <w:pPr>
        <w:pStyle w:val="Normlnweb"/>
        <w:rPr>
          <w:rFonts w:ascii="Calibri" w:hAnsi="Calibri" w:cs="Calibri"/>
          <w:sz w:val="20"/>
          <w:szCs w:val="20"/>
        </w:rPr>
      </w:pPr>
      <w:r w:rsidRPr="00AD4EED">
        <w:rPr>
          <w:rFonts w:ascii="Calibri" w:hAnsi="Calibri" w:cs="Calibri"/>
          <w:sz w:val="20"/>
          <w:szCs w:val="20"/>
        </w:rPr>
        <w:t>Srovnávací studie s použitím 507 vzorků lidské krve prokázala dobrou korelaci s komerčně dostupnou sadou.</w:t>
      </w:r>
    </w:p>
    <w:p w:rsidR="00AD4EED" w:rsidRDefault="00AD4EED" w:rsidP="00AD4EED">
      <w:pPr>
        <w:pStyle w:val="Normlnweb"/>
        <w:rPr>
          <w:rFonts w:ascii="Calibri" w:hAnsi="Calibri" w:cs="Calibri"/>
          <w:sz w:val="20"/>
          <w:szCs w:val="20"/>
        </w:rPr>
      </w:pPr>
      <w:r w:rsidRPr="00AD4EED">
        <w:rPr>
          <w:rFonts w:ascii="Calibri" w:hAnsi="Calibri" w:cs="Calibri"/>
          <w:sz w:val="20"/>
          <w:szCs w:val="20"/>
        </w:rPr>
        <w:t xml:space="preserve">Porovnání rychlého kvantitativního testu TSH (hormonu stimulujícího štítnou žlázu) a soupravy </w:t>
      </w:r>
      <w:proofErr w:type="spellStart"/>
      <w:r w:rsidRPr="00AD4EED">
        <w:rPr>
          <w:rFonts w:ascii="Calibri" w:hAnsi="Calibri" w:cs="Calibri"/>
          <w:sz w:val="20"/>
          <w:szCs w:val="20"/>
        </w:rPr>
        <w:t>Roche</w:t>
      </w:r>
      <w:proofErr w:type="spellEnd"/>
      <w:r w:rsidRPr="00AD4EED">
        <w:rPr>
          <w:rFonts w:ascii="Calibri" w:hAnsi="Calibri" w:cs="Calibri"/>
          <w:sz w:val="20"/>
          <w:szCs w:val="20"/>
        </w:rPr>
        <w:t xml:space="preserve"> TSH </w:t>
      </w:r>
      <w:proofErr w:type="spellStart"/>
      <w:r w:rsidRPr="00AD4EED">
        <w:rPr>
          <w:rFonts w:ascii="Calibri" w:hAnsi="Calibri" w:cs="Calibri"/>
          <w:sz w:val="20"/>
          <w:szCs w:val="20"/>
        </w:rPr>
        <w:t>Reagent</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Kit</w:t>
      </w:r>
      <w:proofErr w:type="spellEnd"/>
      <w:r w:rsidRPr="00AD4EED">
        <w:rPr>
          <w:rFonts w:ascii="Calibri" w:hAnsi="Calibri" w:cs="Calibri"/>
          <w:sz w:val="20"/>
          <w:szCs w:val="20"/>
        </w:rPr>
        <w:t xml:space="preserve"> pro 507 klinických vzorků je korelační koeficient ≥0,970.</w:t>
      </w:r>
      <w:r w:rsidRPr="00AD4EED">
        <w:rPr>
          <w:rFonts w:ascii="Calibri" w:hAnsi="Calibri" w:cs="Calibri"/>
          <w:sz w:val="20"/>
          <w:szCs w:val="20"/>
        </w:rPr>
        <w:t xml:space="preserve"> </w:t>
      </w:r>
    </w:p>
    <w:p w:rsidR="00AD4EED" w:rsidRPr="00AD4EED" w:rsidRDefault="00AD4EED" w:rsidP="00AD4EED">
      <w:pPr>
        <w:pStyle w:val="Normlnweb"/>
        <w:rPr>
          <w:rFonts w:ascii="Calibri" w:hAnsi="Calibri" w:cs="Calibri"/>
          <w:sz w:val="20"/>
          <w:szCs w:val="20"/>
        </w:rPr>
      </w:pPr>
      <w:r w:rsidRPr="00AD4EED">
        <w:rPr>
          <w:rFonts w:ascii="Calibri" w:hAnsi="Calibri" w:cs="Calibri"/>
          <w:sz w:val="20"/>
          <w:szCs w:val="20"/>
        </w:rPr>
        <w:t xml:space="preserve">• Rozsah testu: 0,1 ~ 100 </w:t>
      </w:r>
      <w:proofErr w:type="spellStart"/>
      <w:r w:rsidRPr="00AD4EED">
        <w:rPr>
          <w:rFonts w:ascii="Calibri" w:hAnsi="Calibri" w:cs="Calibri"/>
          <w:sz w:val="20"/>
          <w:szCs w:val="20"/>
        </w:rPr>
        <w:t>mIU</w:t>
      </w:r>
      <w:proofErr w:type="spellEnd"/>
      <w:r w:rsidRPr="00AD4EED">
        <w:rPr>
          <w:rFonts w:ascii="Calibri" w:hAnsi="Calibri" w:cs="Calibri"/>
          <w:sz w:val="20"/>
          <w:szCs w:val="20"/>
        </w:rPr>
        <w:t xml:space="preserve"> / l</w:t>
      </w:r>
    </w:p>
    <w:p w:rsidR="00AD4EED" w:rsidRDefault="00AD4EED" w:rsidP="00AD4EED">
      <w:pPr>
        <w:pStyle w:val="Normlnweb"/>
        <w:rPr>
          <w:rFonts w:ascii="Calibri" w:hAnsi="Calibri" w:cs="Calibri"/>
          <w:b/>
          <w:bCs/>
          <w:sz w:val="20"/>
          <w:szCs w:val="20"/>
        </w:rPr>
      </w:pPr>
      <w:r w:rsidRPr="00AD4EED">
        <w:rPr>
          <w:rFonts w:ascii="Calibri" w:hAnsi="Calibri" w:cs="Calibri"/>
          <w:sz w:val="20"/>
          <w:szCs w:val="20"/>
        </w:rPr>
        <w:t xml:space="preserve">• Detekční limit (analytická citlivost): 0,1 </w:t>
      </w:r>
      <w:proofErr w:type="spellStart"/>
      <w:r w:rsidRPr="00AD4EED">
        <w:rPr>
          <w:rFonts w:ascii="Calibri" w:hAnsi="Calibri" w:cs="Calibri"/>
          <w:sz w:val="20"/>
          <w:szCs w:val="20"/>
        </w:rPr>
        <w:t>mIU</w:t>
      </w:r>
      <w:proofErr w:type="spellEnd"/>
      <w:r w:rsidRPr="00AD4EED">
        <w:rPr>
          <w:rFonts w:ascii="Calibri" w:hAnsi="Calibri" w:cs="Calibri"/>
          <w:sz w:val="20"/>
          <w:szCs w:val="20"/>
        </w:rPr>
        <w:t xml:space="preserve"> / l</w:t>
      </w:r>
      <w:r w:rsidRPr="00AD4EED">
        <w:rPr>
          <w:rFonts w:ascii="Calibri" w:hAnsi="Calibri" w:cs="Calibri"/>
          <w:b/>
          <w:bCs/>
          <w:sz w:val="20"/>
          <w:szCs w:val="20"/>
        </w:rPr>
        <w:t xml:space="preserve"> </w:t>
      </w:r>
    </w:p>
    <w:p w:rsidR="00FE2171" w:rsidRDefault="00FE2171" w:rsidP="00AD4EED">
      <w:pPr>
        <w:pStyle w:val="Normlnweb"/>
        <w:rPr>
          <w:rFonts w:ascii="Calibri" w:hAnsi="Calibri" w:cs="Calibri"/>
          <w:b/>
          <w:bCs/>
          <w:sz w:val="20"/>
          <w:szCs w:val="20"/>
        </w:rPr>
      </w:pPr>
    </w:p>
    <w:p w:rsidR="00FE2171" w:rsidRDefault="00FE2171" w:rsidP="00AD4EED">
      <w:pPr>
        <w:pStyle w:val="Normlnweb"/>
        <w:rPr>
          <w:rFonts w:ascii="Calibri" w:hAnsi="Calibri" w:cs="Calibri"/>
          <w:b/>
          <w:bCs/>
          <w:sz w:val="20"/>
          <w:szCs w:val="20"/>
        </w:rPr>
      </w:pPr>
    </w:p>
    <w:p w:rsidR="00FE2171" w:rsidRDefault="00FE2171" w:rsidP="00AD4EED">
      <w:pPr>
        <w:pStyle w:val="Normlnweb"/>
        <w:rPr>
          <w:rFonts w:ascii="Calibri" w:hAnsi="Calibri" w:cs="Calibri"/>
          <w:b/>
          <w:bCs/>
          <w:sz w:val="20"/>
          <w:szCs w:val="20"/>
        </w:rPr>
      </w:pPr>
    </w:p>
    <w:p w:rsidR="00BB24C1" w:rsidRPr="00BB24C1" w:rsidRDefault="00BB24C1" w:rsidP="00AD4EED">
      <w:pPr>
        <w:pStyle w:val="Normlnweb"/>
        <w:rPr>
          <w:rFonts w:ascii="Calibri" w:hAnsi="Calibri" w:cs="Calibri"/>
          <w:b/>
          <w:bCs/>
          <w:sz w:val="20"/>
          <w:szCs w:val="20"/>
        </w:rPr>
      </w:pPr>
      <w:bookmarkStart w:id="0" w:name="_GoBack"/>
      <w:bookmarkEnd w:id="0"/>
      <w:r w:rsidRPr="00BB24C1">
        <w:rPr>
          <w:rFonts w:ascii="Calibri" w:hAnsi="Calibri" w:cs="Calibri"/>
          <w:b/>
          <w:bCs/>
          <w:sz w:val="20"/>
          <w:szCs w:val="20"/>
        </w:rPr>
        <w:lastRenderedPageBreak/>
        <w:t>Křížová reaktivita</w:t>
      </w:r>
    </w:p>
    <w:p w:rsidR="00AD4EED" w:rsidRDefault="00AD4EED" w:rsidP="00BB24C1">
      <w:pPr>
        <w:pStyle w:val="Normlnweb"/>
        <w:rPr>
          <w:rFonts w:ascii="Calibri" w:hAnsi="Calibri" w:cs="Calibri"/>
          <w:sz w:val="20"/>
          <w:szCs w:val="20"/>
        </w:rPr>
      </w:pPr>
      <w:r w:rsidRPr="00AD4EED">
        <w:rPr>
          <w:rFonts w:ascii="Calibri" w:hAnsi="Calibri" w:cs="Calibri"/>
          <w:sz w:val="20"/>
          <w:szCs w:val="20"/>
        </w:rPr>
        <w:t xml:space="preserve">Následující látky neinterferují s výsledky testu TSH při uvedených koncentracích: FSH při 1000 </w:t>
      </w:r>
      <w:proofErr w:type="spellStart"/>
      <w:r w:rsidRPr="00AD4EED">
        <w:rPr>
          <w:rFonts w:ascii="Calibri" w:hAnsi="Calibri" w:cs="Calibri"/>
          <w:sz w:val="20"/>
          <w:szCs w:val="20"/>
        </w:rPr>
        <w:t>mIU</w:t>
      </w:r>
      <w:proofErr w:type="spellEnd"/>
      <w:r w:rsidRPr="00AD4EED">
        <w:rPr>
          <w:rFonts w:ascii="Calibri" w:hAnsi="Calibri" w:cs="Calibri"/>
          <w:sz w:val="20"/>
          <w:szCs w:val="20"/>
        </w:rPr>
        <w:t xml:space="preserve"> / ml, LH při 500 </w:t>
      </w:r>
      <w:proofErr w:type="spellStart"/>
      <w:r w:rsidRPr="00AD4EED">
        <w:rPr>
          <w:rFonts w:ascii="Calibri" w:hAnsi="Calibri" w:cs="Calibri"/>
          <w:sz w:val="20"/>
          <w:szCs w:val="20"/>
        </w:rPr>
        <w:t>mIU</w:t>
      </w:r>
      <w:proofErr w:type="spellEnd"/>
      <w:r w:rsidRPr="00AD4EED">
        <w:rPr>
          <w:rFonts w:ascii="Calibri" w:hAnsi="Calibri" w:cs="Calibri"/>
          <w:sz w:val="20"/>
          <w:szCs w:val="20"/>
        </w:rPr>
        <w:t xml:space="preserve"> / ml a HCG při 130000 </w:t>
      </w:r>
      <w:proofErr w:type="spellStart"/>
      <w:r w:rsidRPr="00AD4EED">
        <w:rPr>
          <w:rFonts w:ascii="Calibri" w:hAnsi="Calibri" w:cs="Calibri"/>
          <w:sz w:val="20"/>
          <w:szCs w:val="20"/>
        </w:rPr>
        <w:t>mIU</w:t>
      </w:r>
      <w:proofErr w:type="spellEnd"/>
      <w:r w:rsidRPr="00AD4EED">
        <w:rPr>
          <w:rFonts w:ascii="Calibri" w:hAnsi="Calibri" w:cs="Calibri"/>
          <w:sz w:val="20"/>
          <w:szCs w:val="20"/>
        </w:rPr>
        <w:t xml:space="preserve"> / l.</w:t>
      </w:r>
      <w:r w:rsidRPr="00AD4EED">
        <w:rPr>
          <w:rFonts w:ascii="Calibri" w:hAnsi="Calibri" w:cs="Calibri"/>
          <w:sz w:val="20"/>
          <w:szCs w:val="20"/>
        </w:rPr>
        <w:t xml:space="preserve"> </w:t>
      </w:r>
    </w:p>
    <w:p w:rsidR="00BB24C1" w:rsidRPr="00BB24C1" w:rsidRDefault="00BB24C1" w:rsidP="00BB24C1">
      <w:pPr>
        <w:pStyle w:val="Normlnweb"/>
        <w:rPr>
          <w:rFonts w:ascii="Calibri" w:hAnsi="Calibri" w:cs="Calibri"/>
          <w:b/>
          <w:bCs/>
          <w:sz w:val="20"/>
          <w:szCs w:val="20"/>
        </w:rPr>
      </w:pPr>
      <w:r w:rsidRPr="00BB24C1">
        <w:rPr>
          <w:rFonts w:ascii="Calibri" w:hAnsi="Calibri" w:cs="Calibri"/>
          <w:b/>
          <w:bCs/>
          <w:sz w:val="20"/>
          <w:szCs w:val="20"/>
        </w:rPr>
        <w:t>Linearita</w:t>
      </w:r>
    </w:p>
    <w:p w:rsidR="00AD4EED" w:rsidRDefault="00AD4EED" w:rsidP="00BB24C1">
      <w:pPr>
        <w:pStyle w:val="Normlnweb"/>
        <w:rPr>
          <w:rFonts w:ascii="Calibri" w:hAnsi="Calibri" w:cs="Calibri"/>
          <w:sz w:val="20"/>
          <w:szCs w:val="20"/>
        </w:rPr>
      </w:pPr>
      <w:r w:rsidRPr="00AD4EED">
        <w:rPr>
          <w:rFonts w:ascii="Calibri" w:hAnsi="Calibri" w:cs="Calibri"/>
          <w:sz w:val="20"/>
          <w:szCs w:val="20"/>
        </w:rPr>
        <w:t xml:space="preserve">Sériová koncentrace kontrol TSH při 0,3 </w:t>
      </w:r>
      <w:proofErr w:type="spellStart"/>
      <w:r w:rsidRPr="00AD4EED">
        <w:rPr>
          <w:rFonts w:ascii="Calibri" w:hAnsi="Calibri" w:cs="Calibri"/>
          <w:sz w:val="20"/>
          <w:szCs w:val="20"/>
        </w:rPr>
        <w:t>mIU</w:t>
      </w:r>
      <w:proofErr w:type="spellEnd"/>
      <w:r w:rsidRPr="00AD4EED">
        <w:rPr>
          <w:rFonts w:ascii="Calibri" w:hAnsi="Calibri" w:cs="Calibri"/>
          <w:sz w:val="20"/>
          <w:szCs w:val="20"/>
        </w:rPr>
        <w:t xml:space="preserve"> / l, 1,5 </w:t>
      </w:r>
      <w:proofErr w:type="spellStart"/>
      <w:r w:rsidRPr="00AD4EED">
        <w:rPr>
          <w:rFonts w:ascii="Calibri" w:hAnsi="Calibri" w:cs="Calibri"/>
          <w:sz w:val="20"/>
          <w:szCs w:val="20"/>
        </w:rPr>
        <w:t>mIU</w:t>
      </w:r>
      <w:proofErr w:type="spellEnd"/>
      <w:r w:rsidRPr="00AD4EED">
        <w:rPr>
          <w:rFonts w:ascii="Calibri" w:hAnsi="Calibri" w:cs="Calibri"/>
          <w:sz w:val="20"/>
          <w:szCs w:val="20"/>
        </w:rPr>
        <w:t xml:space="preserve"> / l, 5 </w:t>
      </w:r>
      <w:proofErr w:type="spellStart"/>
      <w:r w:rsidRPr="00AD4EED">
        <w:rPr>
          <w:rFonts w:ascii="Calibri" w:hAnsi="Calibri" w:cs="Calibri"/>
          <w:sz w:val="20"/>
          <w:szCs w:val="20"/>
        </w:rPr>
        <w:t>mIU</w:t>
      </w:r>
      <w:proofErr w:type="spellEnd"/>
      <w:r w:rsidRPr="00AD4EED">
        <w:rPr>
          <w:rFonts w:ascii="Calibri" w:hAnsi="Calibri" w:cs="Calibri"/>
          <w:sz w:val="20"/>
          <w:szCs w:val="20"/>
        </w:rPr>
        <w:t xml:space="preserve"> / l, 25 </w:t>
      </w:r>
      <w:proofErr w:type="spellStart"/>
      <w:r w:rsidRPr="00AD4EED">
        <w:rPr>
          <w:rFonts w:ascii="Calibri" w:hAnsi="Calibri" w:cs="Calibri"/>
          <w:sz w:val="20"/>
          <w:szCs w:val="20"/>
        </w:rPr>
        <w:t>mIU</w:t>
      </w:r>
      <w:proofErr w:type="spellEnd"/>
      <w:r w:rsidRPr="00AD4EED">
        <w:rPr>
          <w:rFonts w:ascii="Calibri" w:hAnsi="Calibri" w:cs="Calibri"/>
          <w:sz w:val="20"/>
          <w:szCs w:val="20"/>
        </w:rPr>
        <w:t xml:space="preserve"> / l, 50 </w:t>
      </w:r>
      <w:proofErr w:type="spellStart"/>
      <w:r w:rsidRPr="00AD4EED">
        <w:rPr>
          <w:rFonts w:ascii="Calibri" w:hAnsi="Calibri" w:cs="Calibri"/>
          <w:sz w:val="20"/>
          <w:szCs w:val="20"/>
        </w:rPr>
        <w:t>mIU</w:t>
      </w:r>
      <w:proofErr w:type="spellEnd"/>
      <w:r w:rsidRPr="00AD4EED">
        <w:rPr>
          <w:rFonts w:ascii="Calibri" w:hAnsi="Calibri" w:cs="Calibri"/>
          <w:sz w:val="20"/>
          <w:szCs w:val="20"/>
        </w:rPr>
        <w:t xml:space="preserve"> / l byla testována třikrát, korelační koeficient (R) je&gt; 0,990.</w:t>
      </w:r>
      <w:r w:rsidRPr="00AD4EED">
        <w:rPr>
          <w:rFonts w:ascii="Calibri" w:hAnsi="Calibri" w:cs="Calibri"/>
          <w:sz w:val="20"/>
          <w:szCs w:val="20"/>
        </w:rPr>
        <w:t xml:space="preserve"> </w:t>
      </w:r>
    </w:p>
    <w:p w:rsidR="00AD4EED" w:rsidRPr="00AD4EED" w:rsidRDefault="00AD4EED" w:rsidP="00AD4EED">
      <w:pPr>
        <w:pStyle w:val="Normlnweb"/>
        <w:rPr>
          <w:rFonts w:ascii="Calibri" w:hAnsi="Calibri" w:cs="Calibri"/>
          <w:b/>
          <w:bCs/>
          <w:sz w:val="20"/>
          <w:szCs w:val="20"/>
        </w:rPr>
      </w:pPr>
      <w:r w:rsidRPr="00AD4EED">
        <w:rPr>
          <w:rFonts w:ascii="Calibri" w:hAnsi="Calibri" w:cs="Calibri"/>
          <w:b/>
          <w:bCs/>
          <w:sz w:val="20"/>
          <w:szCs w:val="20"/>
        </w:rPr>
        <w:t>Přesnost v rámci šarže</w:t>
      </w:r>
    </w:p>
    <w:p w:rsidR="00AD4EED" w:rsidRPr="00AD4EED" w:rsidRDefault="00AD4EED" w:rsidP="00AD4EED">
      <w:pPr>
        <w:pStyle w:val="Normlnweb"/>
        <w:rPr>
          <w:rFonts w:ascii="Calibri" w:hAnsi="Calibri" w:cs="Calibri"/>
          <w:sz w:val="20"/>
          <w:szCs w:val="20"/>
        </w:rPr>
      </w:pPr>
      <w:r w:rsidRPr="00AD4EED">
        <w:rPr>
          <w:rFonts w:ascii="Calibri" w:hAnsi="Calibri" w:cs="Calibri"/>
          <w:sz w:val="20"/>
          <w:szCs w:val="20"/>
        </w:rPr>
        <w:t xml:space="preserve">Přesnost v rámci cyklu byla stanovena pomocí 10 </w:t>
      </w:r>
      <w:proofErr w:type="spellStart"/>
      <w:r w:rsidRPr="00AD4EED">
        <w:rPr>
          <w:rFonts w:ascii="Calibri" w:hAnsi="Calibri" w:cs="Calibri"/>
          <w:sz w:val="20"/>
          <w:szCs w:val="20"/>
        </w:rPr>
        <w:t>replikátů</w:t>
      </w:r>
      <w:proofErr w:type="spellEnd"/>
      <w:r w:rsidRPr="00AD4EED">
        <w:rPr>
          <w:rFonts w:ascii="Calibri" w:hAnsi="Calibri" w:cs="Calibri"/>
          <w:sz w:val="20"/>
          <w:szCs w:val="20"/>
        </w:rPr>
        <w:t xml:space="preserve"> pro stejnou šarži vzorku TSH 1,5 </w:t>
      </w:r>
      <w:proofErr w:type="spellStart"/>
      <w:r w:rsidRPr="00AD4EED">
        <w:rPr>
          <w:rFonts w:ascii="Calibri" w:hAnsi="Calibri" w:cs="Calibri"/>
          <w:sz w:val="20"/>
          <w:szCs w:val="20"/>
        </w:rPr>
        <w:t>mIU</w:t>
      </w:r>
      <w:proofErr w:type="spellEnd"/>
      <w:r w:rsidRPr="00AD4EED">
        <w:rPr>
          <w:rFonts w:ascii="Calibri" w:hAnsi="Calibri" w:cs="Calibri"/>
          <w:sz w:val="20"/>
          <w:szCs w:val="20"/>
        </w:rPr>
        <w:t xml:space="preserve"> / L.</w:t>
      </w:r>
      <w:r>
        <w:rPr>
          <w:rFonts w:ascii="Calibri" w:hAnsi="Calibri" w:cs="Calibri"/>
          <w:sz w:val="20"/>
          <w:szCs w:val="20"/>
        </w:rPr>
        <w:t xml:space="preserve"> </w:t>
      </w:r>
      <w:r w:rsidRPr="00AD4EED">
        <w:rPr>
          <w:rFonts w:ascii="Calibri" w:hAnsi="Calibri" w:cs="Calibri"/>
          <w:sz w:val="20"/>
          <w:szCs w:val="20"/>
        </w:rPr>
        <w:t>C.V. je &lt;15%.</w:t>
      </w:r>
    </w:p>
    <w:p w:rsidR="00AD4EED" w:rsidRPr="00AD4EED" w:rsidRDefault="00AD4EED" w:rsidP="00AD4EED">
      <w:pPr>
        <w:pStyle w:val="Normlnweb"/>
        <w:rPr>
          <w:rFonts w:ascii="Calibri" w:hAnsi="Calibri" w:cs="Calibri"/>
          <w:b/>
          <w:bCs/>
          <w:sz w:val="20"/>
          <w:szCs w:val="20"/>
        </w:rPr>
      </w:pPr>
      <w:r w:rsidRPr="00AD4EED">
        <w:rPr>
          <w:rFonts w:ascii="Calibri" w:hAnsi="Calibri" w:cs="Calibri"/>
          <w:b/>
          <w:bCs/>
          <w:sz w:val="20"/>
          <w:szCs w:val="20"/>
        </w:rPr>
        <w:t>Přesnost mezi jednotlivými šaržemi</w:t>
      </w:r>
    </w:p>
    <w:p w:rsidR="00AD4EED" w:rsidRPr="00AD4EED" w:rsidRDefault="00AD4EED" w:rsidP="00AD4EED">
      <w:pPr>
        <w:pStyle w:val="Normlnweb"/>
        <w:rPr>
          <w:rFonts w:ascii="Calibri" w:hAnsi="Calibri" w:cs="Calibri"/>
          <w:sz w:val="20"/>
          <w:szCs w:val="20"/>
        </w:rPr>
      </w:pPr>
      <w:r w:rsidRPr="00AD4EED">
        <w:rPr>
          <w:rFonts w:ascii="Calibri" w:hAnsi="Calibri" w:cs="Calibri"/>
          <w:sz w:val="20"/>
          <w:szCs w:val="20"/>
        </w:rPr>
        <w:t xml:space="preserve">Přesnost mezi cykly byla stanovena pomocí 3 </w:t>
      </w:r>
      <w:proofErr w:type="spellStart"/>
      <w:r w:rsidRPr="00AD4EED">
        <w:rPr>
          <w:rFonts w:ascii="Calibri" w:hAnsi="Calibri" w:cs="Calibri"/>
          <w:sz w:val="20"/>
          <w:szCs w:val="20"/>
        </w:rPr>
        <w:t>replikátů</w:t>
      </w:r>
      <w:proofErr w:type="spellEnd"/>
      <w:r w:rsidRPr="00AD4EED">
        <w:rPr>
          <w:rFonts w:ascii="Calibri" w:hAnsi="Calibri" w:cs="Calibri"/>
          <w:sz w:val="20"/>
          <w:szCs w:val="20"/>
        </w:rPr>
        <w:t xml:space="preserve"> pro každou ze tří šarží pomocí hladin vzorku TSH při 1,5 </w:t>
      </w:r>
      <w:proofErr w:type="spellStart"/>
      <w:r w:rsidRPr="00AD4EED">
        <w:rPr>
          <w:rFonts w:ascii="Calibri" w:hAnsi="Calibri" w:cs="Calibri"/>
          <w:sz w:val="20"/>
          <w:szCs w:val="20"/>
        </w:rPr>
        <w:t>mIU</w:t>
      </w:r>
      <w:proofErr w:type="spellEnd"/>
      <w:r w:rsidRPr="00AD4EED">
        <w:rPr>
          <w:rFonts w:ascii="Calibri" w:hAnsi="Calibri" w:cs="Calibri"/>
          <w:sz w:val="20"/>
          <w:szCs w:val="20"/>
        </w:rPr>
        <w:t xml:space="preserve"> / l. </w:t>
      </w:r>
      <w:r>
        <w:rPr>
          <w:rFonts w:ascii="Calibri" w:hAnsi="Calibri" w:cs="Calibri"/>
          <w:sz w:val="20"/>
          <w:szCs w:val="20"/>
        </w:rPr>
        <w:t>C.V</w:t>
      </w:r>
      <w:r w:rsidRPr="00AD4EED">
        <w:rPr>
          <w:rFonts w:ascii="Calibri" w:hAnsi="Calibri" w:cs="Calibri"/>
          <w:sz w:val="20"/>
          <w:szCs w:val="20"/>
        </w:rPr>
        <w:t>. je &lt;15%.</w:t>
      </w:r>
      <w:r w:rsidRPr="00AD4EED">
        <w:rPr>
          <w:rFonts w:ascii="Calibri" w:hAnsi="Calibri" w:cs="Calibri"/>
          <w:sz w:val="20"/>
          <w:szCs w:val="20"/>
        </w:rPr>
        <w:t xml:space="preserve"> </w:t>
      </w:r>
    </w:p>
    <w:p w:rsidR="00BB24C1" w:rsidRPr="00BB24C1" w:rsidRDefault="00BB24C1" w:rsidP="00AD4EED">
      <w:pPr>
        <w:pStyle w:val="Normlnweb"/>
        <w:rPr>
          <w:rFonts w:ascii="Calibri" w:hAnsi="Calibri" w:cs="Calibri"/>
          <w:b/>
          <w:bCs/>
          <w:sz w:val="20"/>
          <w:szCs w:val="20"/>
        </w:rPr>
      </w:pPr>
      <w:r w:rsidRPr="00BB24C1">
        <w:rPr>
          <w:rFonts w:ascii="Calibri" w:hAnsi="Calibri" w:cs="Calibri"/>
          <w:b/>
          <w:bCs/>
          <w:sz w:val="20"/>
          <w:szCs w:val="20"/>
        </w:rPr>
        <w:t>Literatura</w:t>
      </w:r>
    </w:p>
    <w:p w:rsidR="00AD4EED" w:rsidRPr="00AD4EED" w:rsidRDefault="00AD4EED" w:rsidP="00AD4EED">
      <w:pPr>
        <w:pStyle w:val="Normlnweb"/>
        <w:rPr>
          <w:rFonts w:ascii="Calibri" w:hAnsi="Calibri" w:cs="Calibri"/>
          <w:sz w:val="20"/>
          <w:szCs w:val="20"/>
        </w:rPr>
      </w:pPr>
      <w:r w:rsidRPr="00AD4EED">
        <w:rPr>
          <w:rFonts w:ascii="Calibri" w:hAnsi="Calibri" w:cs="Calibri"/>
          <w:sz w:val="20"/>
          <w:szCs w:val="20"/>
        </w:rPr>
        <w:t xml:space="preserve">1. </w:t>
      </w:r>
      <w:proofErr w:type="spellStart"/>
      <w:r w:rsidRPr="00AD4EED">
        <w:rPr>
          <w:rFonts w:ascii="Calibri" w:hAnsi="Calibri" w:cs="Calibri"/>
          <w:sz w:val="20"/>
          <w:szCs w:val="20"/>
        </w:rPr>
        <w:t>Wheeler</w:t>
      </w:r>
      <w:proofErr w:type="spellEnd"/>
      <w:r w:rsidRPr="00AD4EED">
        <w:rPr>
          <w:rFonts w:ascii="Calibri" w:hAnsi="Calibri" w:cs="Calibri"/>
          <w:sz w:val="20"/>
          <w:szCs w:val="20"/>
        </w:rPr>
        <w:t xml:space="preserve"> MH, </w:t>
      </w:r>
      <w:proofErr w:type="spellStart"/>
      <w:r w:rsidRPr="00AD4EED">
        <w:rPr>
          <w:rFonts w:ascii="Calibri" w:hAnsi="Calibri" w:cs="Calibri"/>
          <w:sz w:val="20"/>
          <w:szCs w:val="20"/>
        </w:rPr>
        <w:t>Lazarus</w:t>
      </w:r>
      <w:proofErr w:type="spellEnd"/>
      <w:r w:rsidRPr="00AD4EED">
        <w:rPr>
          <w:rFonts w:ascii="Calibri" w:hAnsi="Calibri" w:cs="Calibri"/>
          <w:sz w:val="20"/>
          <w:szCs w:val="20"/>
        </w:rPr>
        <w:t xml:space="preserve"> JH. </w:t>
      </w:r>
      <w:proofErr w:type="spellStart"/>
      <w:r w:rsidRPr="00AD4EED">
        <w:rPr>
          <w:rFonts w:ascii="Calibri" w:hAnsi="Calibri" w:cs="Calibri"/>
          <w:sz w:val="20"/>
          <w:szCs w:val="20"/>
        </w:rPr>
        <w:t>Diseases</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of</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the</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Thyroid</w:t>
      </w:r>
      <w:proofErr w:type="spellEnd"/>
      <w:r w:rsidRPr="00AD4EED">
        <w:rPr>
          <w:rFonts w:ascii="Calibri" w:hAnsi="Calibri" w:cs="Calibri"/>
          <w:sz w:val="20"/>
          <w:szCs w:val="20"/>
        </w:rPr>
        <w:t xml:space="preserve">. London, </w:t>
      </w:r>
      <w:proofErr w:type="spellStart"/>
      <w:r w:rsidRPr="00AD4EED">
        <w:rPr>
          <w:rFonts w:ascii="Calibri" w:hAnsi="Calibri" w:cs="Calibri"/>
          <w:sz w:val="20"/>
          <w:szCs w:val="20"/>
        </w:rPr>
        <w:t>Glascow</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Weinheim</w:t>
      </w:r>
      <w:proofErr w:type="spellEnd"/>
      <w:r w:rsidRPr="00AD4EED">
        <w:rPr>
          <w:rFonts w:ascii="Calibri" w:hAnsi="Calibri" w:cs="Calibri"/>
          <w:sz w:val="20"/>
          <w:szCs w:val="20"/>
        </w:rPr>
        <w:t xml:space="preserve">, New York, </w:t>
      </w:r>
      <w:proofErr w:type="spellStart"/>
      <w:r w:rsidRPr="00AD4EED">
        <w:rPr>
          <w:rFonts w:ascii="Calibri" w:hAnsi="Calibri" w:cs="Calibri"/>
          <w:sz w:val="20"/>
          <w:szCs w:val="20"/>
        </w:rPr>
        <w:t>Tokyo</w:t>
      </w:r>
      <w:proofErr w:type="spellEnd"/>
      <w:r w:rsidRPr="00AD4EED">
        <w:rPr>
          <w:rFonts w:ascii="Calibri" w:hAnsi="Calibri" w:cs="Calibri"/>
          <w:sz w:val="20"/>
          <w:szCs w:val="20"/>
        </w:rPr>
        <w:t xml:space="preserve">, Melbourne, Madras: </w:t>
      </w:r>
      <w:proofErr w:type="spellStart"/>
      <w:r w:rsidRPr="00AD4EED">
        <w:rPr>
          <w:rFonts w:ascii="Calibri" w:hAnsi="Calibri" w:cs="Calibri"/>
          <w:sz w:val="20"/>
          <w:szCs w:val="20"/>
        </w:rPr>
        <w:t>Chapman</w:t>
      </w:r>
      <w:proofErr w:type="spellEnd"/>
      <w:r w:rsidRPr="00AD4EED">
        <w:rPr>
          <w:rFonts w:ascii="Calibri" w:hAnsi="Calibri" w:cs="Calibri"/>
          <w:sz w:val="20"/>
          <w:szCs w:val="20"/>
        </w:rPr>
        <w:t xml:space="preserve"> and </w:t>
      </w:r>
      <w:proofErr w:type="spellStart"/>
      <w:r w:rsidRPr="00AD4EED">
        <w:rPr>
          <w:rFonts w:ascii="Calibri" w:hAnsi="Calibri" w:cs="Calibri"/>
          <w:sz w:val="20"/>
          <w:szCs w:val="20"/>
        </w:rPr>
        <w:t>Hall</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Medical</w:t>
      </w:r>
      <w:proofErr w:type="spellEnd"/>
      <w:r w:rsidRPr="00AD4EED">
        <w:rPr>
          <w:rFonts w:ascii="Calibri" w:hAnsi="Calibri" w:cs="Calibri"/>
          <w:sz w:val="20"/>
          <w:szCs w:val="20"/>
        </w:rPr>
        <w:t>, 1994:109-115.</w:t>
      </w:r>
    </w:p>
    <w:p w:rsidR="00AD4EED" w:rsidRPr="00AD4EED" w:rsidRDefault="00AD4EED" w:rsidP="00AD4EED">
      <w:pPr>
        <w:pStyle w:val="Normlnweb"/>
        <w:rPr>
          <w:rFonts w:ascii="Calibri" w:hAnsi="Calibri" w:cs="Calibri"/>
          <w:sz w:val="20"/>
          <w:szCs w:val="20"/>
        </w:rPr>
      </w:pPr>
      <w:r w:rsidRPr="00AD4EED">
        <w:rPr>
          <w:rFonts w:ascii="Calibri" w:hAnsi="Calibri" w:cs="Calibri"/>
          <w:sz w:val="20"/>
          <w:szCs w:val="20"/>
        </w:rPr>
        <w:t xml:space="preserve">2. </w:t>
      </w:r>
      <w:proofErr w:type="spellStart"/>
      <w:r w:rsidRPr="00AD4EED">
        <w:rPr>
          <w:rFonts w:ascii="Calibri" w:hAnsi="Calibri" w:cs="Calibri"/>
          <w:sz w:val="20"/>
          <w:szCs w:val="20"/>
        </w:rPr>
        <w:t>Pfannenstiel</w:t>
      </w:r>
      <w:proofErr w:type="spellEnd"/>
      <w:r w:rsidRPr="00AD4EED">
        <w:rPr>
          <w:rFonts w:ascii="Calibri" w:hAnsi="Calibri" w:cs="Calibri"/>
          <w:sz w:val="20"/>
          <w:szCs w:val="20"/>
        </w:rPr>
        <w:t xml:space="preserve"> P, </w:t>
      </w:r>
      <w:proofErr w:type="spellStart"/>
      <w:r w:rsidRPr="00AD4EED">
        <w:rPr>
          <w:rFonts w:ascii="Calibri" w:hAnsi="Calibri" w:cs="Calibri"/>
          <w:sz w:val="20"/>
          <w:szCs w:val="20"/>
        </w:rPr>
        <w:t>Saller</w:t>
      </w:r>
      <w:proofErr w:type="spellEnd"/>
      <w:r w:rsidRPr="00AD4EED">
        <w:rPr>
          <w:rFonts w:ascii="Calibri" w:hAnsi="Calibri" w:cs="Calibri"/>
          <w:sz w:val="20"/>
          <w:szCs w:val="20"/>
        </w:rPr>
        <w:t xml:space="preserve"> B. </w:t>
      </w:r>
      <w:proofErr w:type="spellStart"/>
      <w:r w:rsidRPr="00AD4EED">
        <w:rPr>
          <w:rFonts w:ascii="Calibri" w:hAnsi="Calibri" w:cs="Calibri"/>
          <w:sz w:val="20"/>
          <w:szCs w:val="20"/>
        </w:rPr>
        <w:t>Schilddrüsenkrankheiten</w:t>
      </w:r>
      <w:proofErr w:type="spellEnd"/>
      <w:r w:rsidRPr="00AD4EED">
        <w:rPr>
          <w:rFonts w:ascii="Calibri" w:hAnsi="Calibri" w:cs="Calibri"/>
          <w:sz w:val="20"/>
          <w:szCs w:val="20"/>
        </w:rPr>
        <w:t xml:space="preserve"> Diagnose and </w:t>
      </w:r>
      <w:proofErr w:type="spellStart"/>
      <w:r w:rsidRPr="00AD4EED">
        <w:rPr>
          <w:rFonts w:ascii="Calibri" w:hAnsi="Calibri" w:cs="Calibri"/>
          <w:sz w:val="20"/>
          <w:szCs w:val="20"/>
        </w:rPr>
        <w:t>Therapie</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Berliner</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Medizinische</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Verlagsanstalt</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GmbH</w:t>
      </w:r>
      <w:proofErr w:type="spellEnd"/>
      <w:r w:rsidRPr="00AD4EED">
        <w:rPr>
          <w:rFonts w:ascii="Calibri" w:hAnsi="Calibri" w:cs="Calibri"/>
          <w:sz w:val="20"/>
          <w:szCs w:val="20"/>
        </w:rPr>
        <w:t xml:space="preserve"> 1995;2:43-54.</w:t>
      </w:r>
    </w:p>
    <w:p w:rsidR="00AD4EED" w:rsidRPr="00AD4EED" w:rsidRDefault="00AD4EED" w:rsidP="00AD4EED">
      <w:pPr>
        <w:pStyle w:val="Normlnweb"/>
        <w:rPr>
          <w:rFonts w:ascii="Calibri" w:hAnsi="Calibri" w:cs="Calibri"/>
          <w:sz w:val="20"/>
          <w:szCs w:val="20"/>
        </w:rPr>
      </w:pPr>
      <w:r w:rsidRPr="00AD4EED">
        <w:rPr>
          <w:rFonts w:ascii="Calibri" w:hAnsi="Calibri" w:cs="Calibri"/>
          <w:sz w:val="20"/>
          <w:szCs w:val="20"/>
        </w:rPr>
        <w:t xml:space="preserve">3. </w:t>
      </w:r>
      <w:proofErr w:type="spellStart"/>
      <w:r w:rsidRPr="00AD4EED">
        <w:rPr>
          <w:rFonts w:ascii="Calibri" w:hAnsi="Calibri" w:cs="Calibri"/>
          <w:sz w:val="20"/>
          <w:szCs w:val="20"/>
        </w:rPr>
        <w:t>Surks</w:t>
      </w:r>
      <w:proofErr w:type="spellEnd"/>
      <w:r w:rsidRPr="00AD4EED">
        <w:rPr>
          <w:rFonts w:ascii="Calibri" w:hAnsi="Calibri" w:cs="Calibri"/>
          <w:sz w:val="20"/>
          <w:szCs w:val="20"/>
        </w:rPr>
        <w:t xml:space="preserve"> MI, </w:t>
      </w:r>
      <w:proofErr w:type="spellStart"/>
      <w:r w:rsidRPr="00AD4EED">
        <w:rPr>
          <w:rFonts w:ascii="Calibri" w:hAnsi="Calibri" w:cs="Calibri"/>
          <w:sz w:val="20"/>
          <w:szCs w:val="20"/>
        </w:rPr>
        <w:t>Chopra</w:t>
      </w:r>
      <w:proofErr w:type="spellEnd"/>
      <w:r w:rsidRPr="00AD4EED">
        <w:rPr>
          <w:rFonts w:ascii="Calibri" w:hAnsi="Calibri" w:cs="Calibri"/>
          <w:sz w:val="20"/>
          <w:szCs w:val="20"/>
        </w:rPr>
        <w:t xml:space="preserve"> IJ, </w:t>
      </w:r>
      <w:proofErr w:type="spellStart"/>
      <w:r w:rsidRPr="00AD4EED">
        <w:rPr>
          <w:rFonts w:ascii="Calibri" w:hAnsi="Calibri" w:cs="Calibri"/>
          <w:sz w:val="20"/>
          <w:szCs w:val="20"/>
        </w:rPr>
        <w:t>Mariash</w:t>
      </w:r>
      <w:proofErr w:type="spellEnd"/>
      <w:r w:rsidRPr="00AD4EED">
        <w:rPr>
          <w:rFonts w:ascii="Calibri" w:hAnsi="Calibri" w:cs="Calibri"/>
          <w:sz w:val="20"/>
          <w:szCs w:val="20"/>
        </w:rPr>
        <w:t xml:space="preserve"> CN, </w:t>
      </w:r>
      <w:proofErr w:type="spellStart"/>
      <w:r w:rsidRPr="00AD4EED">
        <w:rPr>
          <w:rFonts w:ascii="Calibri" w:hAnsi="Calibri" w:cs="Calibri"/>
          <w:sz w:val="20"/>
          <w:szCs w:val="20"/>
        </w:rPr>
        <w:t>Nicoloff</w:t>
      </w:r>
      <w:proofErr w:type="spellEnd"/>
      <w:r w:rsidRPr="00AD4EED">
        <w:rPr>
          <w:rFonts w:ascii="Calibri" w:hAnsi="Calibri" w:cs="Calibri"/>
          <w:sz w:val="20"/>
          <w:szCs w:val="20"/>
        </w:rPr>
        <w:t xml:space="preserve"> JT, </w:t>
      </w:r>
      <w:proofErr w:type="spellStart"/>
      <w:r w:rsidRPr="00AD4EED">
        <w:rPr>
          <w:rFonts w:ascii="Calibri" w:hAnsi="Calibri" w:cs="Calibri"/>
          <w:sz w:val="20"/>
          <w:szCs w:val="20"/>
        </w:rPr>
        <w:t>Solomon</w:t>
      </w:r>
      <w:proofErr w:type="spellEnd"/>
      <w:r w:rsidRPr="00AD4EED">
        <w:rPr>
          <w:rFonts w:ascii="Calibri" w:hAnsi="Calibri" w:cs="Calibri"/>
          <w:sz w:val="20"/>
          <w:szCs w:val="20"/>
        </w:rPr>
        <w:t xml:space="preserve"> DH. </w:t>
      </w:r>
      <w:proofErr w:type="spellStart"/>
      <w:r w:rsidRPr="00AD4EED">
        <w:rPr>
          <w:rFonts w:ascii="Calibri" w:hAnsi="Calibri" w:cs="Calibri"/>
          <w:sz w:val="20"/>
          <w:szCs w:val="20"/>
        </w:rPr>
        <w:t>American</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Thyroid</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Association</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Guidelines</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for</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the</w:t>
      </w:r>
      <w:proofErr w:type="spellEnd"/>
      <w:r w:rsidRPr="00AD4EED">
        <w:rPr>
          <w:rFonts w:ascii="Calibri" w:hAnsi="Calibri" w:cs="Calibri"/>
          <w:sz w:val="20"/>
          <w:szCs w:val="20"/>
        </w:rPr>
        <w:t xml:space="preserve"> Use </w:t>
      </w:r>
      <w:proofErr w:type="spellStart"/>
      <w:r w:rsidRPr="00AD4EED">
        <w:rPr>
          <w:rFonts w:ascii="Calibri" w:hAnsi="Calibri" w:cs="Calibri"/>
          <w:sz w:val="20"/>
          <w:szCs w:val="20"/>
        </w:rPr>
        <w:t>of</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Laboratory</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Tests</w:t>
      </w:r>
      <w:proofErr w:type="spellEnd"/>
      <w:r w:rsidRPr="00AD4EED">
        <w:rPr>
          <w:rFonts w:ascii="Calibri" w:hAnsi="Calibri" w:cs="Calibri"/>
          <w:sz w:val="20"/>
          <w:szCs w:val="20"/>
        </w:rPr>
        <w:t xml:space="preserve"> in </w:t>
      </w:r>
      <w:proofErr w:type="spellStart"/>
      <w:r w:rsidRPr="00AD4EED">
        <w:rPr>
          <w:rFonts w:ascii="Calibri" w:hAnsi="Calibri" w:cs="Calibri"/>
          <w:sz w:val="20"/>
          <w:szCs w:val="20"/>
        </w:rPr>
        <w:t>Thyroid</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Disorders</w:t>
      </w:r>
      <w:proofErr w:type="spellEnd"/>
      <w:r w:rsidRPr="00AD4EED">
        <w:rPr>
          <w:rFonts w:ascii="Calibri" w:hAnsi="Calibri" w:cs="Calibri"/>
          <w:sz w:val="20"/>
          <w:szCs w:val="20"/>
        </w:rPr>
        <w:t>. JAMA 1990;263:1529-1532.</w:t>
      </w:r>
    </w:p>
    <w:p w:rsidR="00AD4EED" w:rsidRPr="00AD4EED" w:rsidRDefault="00AD4EED" w:rsidP="00AD4EED">
      <w:pPr>
        <w:pStyle w:val="Normlnweb"/>
        <w:rPr>
          <w:rFonts w:ascii="Calibri" w:hAnsi="Calibri" w:cs="Calibri"/>
          <w:sz w:val="20"/>
          <w:szCs w:val="20"/>
        </w:rPr>
      </w:pPr>
      <w:r w:rsidRPr="00AD4EED">
        <w:rPr>
          <w:rFonts w:ascii="Calibri" w:hAnsi="Calibri" w:cs="Calibri"/>
          <w:sz w:val="20"/>
          <w:szCs w:val="20"/>
        </w:rPr>
        <w:t xml:space="preserve">4. </w:t>
      </w:r>
      <w:proofErr w:type="spellStart"/>
      <w:r w:rsidRPr="00AD4EED">
        <w:rPr>
          <w:rFonts w:ascii="Calibri" w:hAnsi="Calibri" w:cs="Calibri"/>
          <w:sz w:val="20"/>
          <w:szCs w:val="20"/>
        </w:rPr>
        <w:t>Keffer</w:t>
      </w:r>
      <w:proofErr w:type="spellEnd"/>
      <w:r w:rsidRPr="00AD4EED">
        <w:rPr>
          <w:rFonts w:ascii="Calibri" w:hAnsi="Calibri" w:cs="Calibri"/>
          <w:sz w:val="20"/>
          <w:szCs w:val="20"/>
        </w:rPr>
        <w:t xml:space="preserve"> JH. </w:t>
      </w:r>
      <w:proofErr w:type="spellStart"/>
      <w:r w:rsidRPr="00AD4EED">
        <w:rPr>
          <w:rFonts w:ascii="Calibri" w:hAnsi="Calibri" w:cs="Calibri"/>
          <w:sz w:val="20"/>
          <w:szCs w:val="20"/>
        </w:rPr>
        <w:t>Preanalytical</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Considerations</w:t>
      </w:r>
      <w:proofErr w:type="spellEnd"/>
      <w:r w:rsidRPr="00AD4EED">
        <w:rPr>
          <w:rFonts w:ascii="Calibri" w:hAnsi="Calibri" w:cs="Calibri"/>
          <w:sz w:val="20"/>
          <w:szCs w:val="20"/>
        </w:rPr>
        <w:t xml:space="preserve"> in </w:t>
      </w:r>
      <w:proofErr w:type="spellStart"/>
      <w:r w:rsidRPr="00AD4EED">
        <w:rPr>
          <w:rFonts w:ascii="Calibri" w:hAnsi="Calibri" w:cs="Calibri"/>
          <w:sz w:val="20"/>
          <w:szCs w:val="20"/>
        </w:rPr>
        <w:t>Testing</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Thyroid</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Function</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Clinical</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Chemistry</w:t>
      </w:r>
      <w:proofErr w:type="spellEnd"/>
      <w:r w:rsidRPr="00AD4EED">
        <w:rPr>
          <w:rFonts w:ascii="Calibri" w:hAnsi="Calibri" w:cs="Calibri"/>
          <w:sz w:val="20"/>
          <w:szCs w:val="20"/>
        </w:rPr>
        <w:t xml:space="preserve"> 1996;42:1,125-135.</w:t>
      </w:r>
    </w:p>
    <w:p w:rsidR="00AD4EED" w:rsidRPr="00AD4EED" w:rsidRDefault="00AD4EED" w:rsidP="00AD4EED">
      <w:pPr>
        <w:pStyle w:val="Normlnweb"/>
        <w:rPr>
          <w:rFonts w:ascii="Calibri" w:hAnsi="Calibri" w:cs="Calibri"/>
          <w:sz w:val="20"/>
          <w:szCs w:val="20"/>
        </w:rPr>
      </w:pPr>
      <w:r w:rsidRPr="00AD4EED">
        <w:rPr>
          <w:rFonts w:ascii="Calibri" w:hAnsi="Calibri" w:cs="Calibri"/>
          <w:sz w:val="20"/>
          <w:szCs w:val="20"/>
        </w:rPr>
        <w:t xml:space="preserve">5. </w:t>
      </w:r>
      <w:proofErr w:type="spellStart"/>
      <w:r w:rsidRPr="00AD4EED">
        <w:rPr>
          <w:rFonts w:ascii="Calibri" w:hAnsi="Calibri" w:cs="Calibri"/>
          <w:sz w:val="20"/>
          <w:szCs w:val="20"/>
        </w:rPr>
        <w:t>Ladenson</w:t>
      </w:r>
      <w:proofErr w:type="spellEnd"/>
      <w:r w:rsidRPr="00AD4EED">
        <w:rPr>
          <w:rFonts w:ascii="Calibri" w:hAnsi="Calibri" w:cs="Calibri"/>
          <w:sz w:val="20"/>
          <w:szCs w:val="20"/>
        </w:rPr>
        <w:t xml:space="preserve"> PW. </w:t>
      </w:r>
      <w:proofErr w:type="spellStart"/>
      <w:r w:rsidRPr="00AD4EED">
        <w:rPr>
          <w:rFonts w:ascii="Calibri" w:hAnsi="Calibri" w:cs="Calibri"/>
          <w:sz w:val="20"/>
          <w:szCs w:val="20"/>
        </w:rPr>
        <w:t>Optimal</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laboratory</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testing</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for</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diagnosis</w:t>
      </w:r>
      <w:proofErr w:type="spellEnd"/>
      <w:r w:rsidRPr="00AD4EED">
        <w:rPr>
          <w:rFonts w:ascii="Calibri" w:hAnsi="Calibri" w:cs="Calibri"/>
          <w:sz w:val="20"/>
          <w:szCs w:val="20"/>
        </w:rPr>
        <w:t xml:space="preserve"> and monitoring </w:t>
      </w:r>
      <w:proofErr w:type="spellStart"/>
      <w:r w:rsidRPr="00AD4EED">
        <w:rPr>
          <w:rFonts w:ascii="Calibri" w:hAnsi="Calibri" w:cs="Calibri"/>
          <w:sz w:val="20"/>
          <w:szCs w:val="20"/>
        </w:rPr>
        <w:t>of</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thyroid</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nodules</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goiter</w:t>
      </w:r>
      <w:proofErr w:type="spellEnd"/>
      <w:r w:rsidRPr="00AD4EED">
        <w:rPr>
          <w:rFonts w:ascii="Calibri" w:hAnsi="Calibri" w:cs="Calibri"/>
          <w:sz w:val="20"/>
          <w:szCs w:val="20"/>
        </w:rPr>
        <w:t xml:space="preserve"> and </w:t>
      </w:r>
      <w:proofErr w:type="spellStart"/>
      <w:r w:rsidRPr="00AD4EED">
        <w:rPr>
          <w:rFonts w:ascii="Calibri" w:hAnsi="Calibri" w:cs="Calibri"/>
          <w:sz w:val="20"/>
          <w:szCs w:val="20"/>
        </w:rPr>
        <w:t>thyroid</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cancer</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Clin</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Chem</w:t>
      </w:r>
      <w:proofErr w:type="spellEnd"/>
      <w:r w:rsidRPr="00AD4EED">
        <w:rPr>
          <w:rFonts w:ascii="Calibri" w:hAnsi="Calibri" w:cs="Calibri"/>
          <w:sz w:val="20"/>
          <w:szCs w:val="20"/>
        </w:rPr>
        <w:t xml:space="preserve"> 1996;42:1,183-187.</w:t>
      </w:r>
    </w:p>
    <w:p w:rsidR="00AD4EED" w:rsidRPr="00AD4EED" w:rsidRDefault="00AD4EED" w:rsidP="00AD4EED">
      <w:pPr>
        <w:pStyle w:val="Normlnweb"/>
        <w:rPr>
          <w:rFonts w:ascii="Calibri" w:hAnsi="Calibri" w:cs="Calibri"/>
          <w:sz w:val="20"/>
          <w:szCs w:val="20"/>
        </w:rPr>
      </w:pPr>
      <w:r w:rsidRPr="00AD4EED">
        <w:rPr>
          <w:rFonts w:ascii="Calibri" w:hAnsi="Calibri" w:cs="Calibri"/>
          <w:sz w:val="20"/>
          <w:szCs w:val="20"/>
        </w:rPr>
        <w:t xml:space="preserve">6. </w:t>
      </w:r>
      <w:proofErr w:type="spellStart"/>
      <w:r w:rsidRPr="00AD4EED">
        <w:rPr>
          <w:rFonts w:ascii="Calibri" w:hAnsi="Calibri" w:cs="Calibri"/>
          <w:sz w:val="20"/>
          <w:szCs w:val="20"/>
        </w:rPr>
        <w:t>Nicoloff</w:t>
      </w:r>
      <w:proofErr w:type="spellEnd"/>
      <w:r w:rsidRPr="00AD4EED">
        <w:rPr>
          <w:rFonts w:ascii="Calibri" w:hAnsi="Calibri" w:cs="Calibri"/>
          <w:sz w:val="20"/>
          <w:szCs w:val="20"/>
        </w:rPr>
        <w:t xml:space="preserve"> JT, </w:t>
      </w:r>
      <w:proofErr w:type="spellStart"/>
      <w:r w:rsidRPr="00AD4EED">
        <w:rPr>
          <w:rFonts w:ascii="Calibri" w:hAnsi="Calibri" w:cs="Calibri"/>
          <w:sz w:val="20"/>
          <w:szCs w:val="20"/>
        </w:rPr>
        <w:t>Spencer</w:t>
      </w:r>
      <w:proofErr w:type="spellEnd"/>
      <w:r w:rsidRPr="00AD4EED">
        <w:rPr>
          <w:rFonts w:ascii="Calibri" w:hAnsi="Calibri" w:cs="Calibri"/>
          <w:sz w:val="20"/>
          <w:szCs w:val="20"/>
        </w:rPr>
        <w:t xml:space="preserve"> CA. </w:t>
      </w:r>
      <w:proofErr w:type="spellStart"/>
      <w:r w:rsidRPr="00AD4EED">
        <w:rPr>
          <w:rFonts w:ascii="Calibri" w:hAnsi="Calibri" w:cs="Calibri"/>
          <w:sz w:val="20"/>
          <w:szCs w:val="20"/>
        </w:rPr>
        <w:t>The</w:t>
      </w:r>
      <w:proofErr w:type="spellEnd"/>
      <w:r w:rsidRPr="00AD4EED">
        <w:rPr>
          <w:rFonts w:ascii="Calibri" w:hAnsi="Calibri" w:cs="Calibri"/>
          <w:sz w:val="20"/>
          <w:szCs w:val="20"/>
        </w:rPr>
        <w:t xml:space="preserve"> use and </w:t>
      </w:r>
      <w:proofErr w:type="spellStart"/>
      <w:r w:rsidRPr="00AD4EED">
        <w:rPr>
          <w:rFonts w:ascii="Calibri" w:hAnsi="Calibri" w:cs="Calibri"/>
          <w:sz w:val="20"/>
          <w:szCs w:val="20"/>
        </w:rPr>
        <w:t>misuse</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of</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the</w:t>
      </w:r>
      <w:proofErr w:type="spellEnd"/>
      <w:r w:rsidRPr="00AD4EED">
        <w:rPr>
          <w:rFonts w:ascii="Calibri" w:hAnsi="Calibri" w:cs="Calibri"/>
          <w:sz w:val="20"/>
          <w:szCs w:val="20"/>
        </w:rPr>
        <w:t xml:space="preserve"> sensitive </w:t>
      </w:r>
      <w:proofErr w:type="spellStart"/>
      <w:r w:rsidRPr="00AD4EED">
        <w:rPr>
          <w:rFonts w:ascii="Calibri" w:hAnsi="Calibri" w:cs="Calibri"/>
          <w:sz w:val="20"/>
          <w:szCs w:val="20"/>
        </w:rPr>
        <w:t>thyrotropin</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assays</w:t>
      </w:r>
      <w:proofErr w:type="spellEnd"/>
      <w:r w:rsidRPr="00AD4EED">
        <w:rPr>
          <w:rFonts w:ascii="Calibri" w:hAnsi="Calibri" w:cs="Calibri"/>
          <w:sz w:val="20"/>
          <w:szCs w:val="20"/>
        </w:rPr>
        <w:t xml:space="preserve">. J </w:t>
      </w:r>
      <w:proofErr w:type="spellStart"/>
      <w:r w:rsidRPr="00AD4EED">
        <w:rPr>
          <w:rFonts w:ascii="Calibri" w:hAnsi="Calibri" w:cs="Calibri"/>
          <w:sz w:val="20"/>
          <w:szCs w:val="20"/>
        </w:rPr>
        <w:t>Clin</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Endocr</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Metab</w:t>
      </w:r>
      <w:proofErr w:type="spellEnd"/>
      <w:r w:rsidRPr="00AD4EED">
        <w:rPr>
          <w:rFonts w:ascii="Calibri" w:hAnsi="Calibri" w:cs="Calibri"/>
          <w:sz w:val="20"/>
          <w:szCs w:val="20"/>
        </w:rPr>
        <w:t xml:space="preserve"> 1990;71:553-558.</w:t>
      </w:r>
    </w:p>
    <w:p w:rsidR="00AD4EED" w:rsidRPr="00AD4EED" w:rsidRDefault="00AD4EED" w:rsidP="00AD4EED">
      <w:pPr>
        <w:pStyle w:val="Normlnweb"/>
        <w:rPr>
          <w:rFonts w:ascii="Calibri" w:hAnsi="Calibri" w:cs="Calibri"/>
          <w:sz w:val="20"/>
          <w:szCs w:val="20"/>
        </w:rPr>
      </w:pPr>
      <w:r w:rsidRPr="00AD4EED">
        <w:rPr>
          <w:rFonts w:ascii="Calibri" w:hAnsi="Calibri" w:cs="Calibri"/>
          <w:sz w:val="20"/>
          <w:szCs w:val="20"/>
        </w:rPr>
        <w:t xml:space="preserve">7. </w:t>
      </w:r>
      <w:proofErr w:type="spellStart"/>
      <w:r w:rsidRPr="00AD4EED">
        <w:rPr>
          <w:rFonts w:ascii="Calibri" w:hAnsi="Calibri" w:cs="Calibri"/>
          <w:sz w:val="20"/>
          <w:szCs w:val="20"/>
        </w:rPr>
        <w:t>Tietz</w:t>
      </w:r>
      <w:proofErr w:type="spellEnd"/>
      <w:r w:rsidRPr="00AD4EED">
        <w:rPr>
          <w:rFonts w:ascii="Calibri" w:hAnsi="Calibri" w:cs="Calibri"/>
          <w:sz w:val="20"/>
          <w:szCs w:val="20"/>
        </w:rPr>
        <w:t xml:space="preserve"> NW. </w:t>
      </w:r>
      <w:proofErr w:type="spellStart"/>
      <w:r w:rsidRPr="00AD4EED">
        <w:rPr>
          <w:rFonts w:ascii="Calibri" w:hAnsi="Calibri" w:cs="Calibri"/>
          <w:sz w:val="20"/>
          <w:szCs w:val="20"/>
        </w:rPr>
        <w:t>Clinical</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Guide</w:t>
      </w:r>
      <w:proofErr w:type="spellEnd"/>
      <w:r w:rsidRPr="00AD4EED">
        <w:rPr>
          <w:rFonts w:ascii="Calibri" w:hAnsi="Calibri" w:cs="Calibri"/>
          <w:sz w:val="20"/>
          <w:szCs w:val="20"/>
        </w:rPr>
        <w:t xml:space="preserve"> to </w:t>
      </w:r>
      <w:proofErr w:type="spellStart"/>
      <w:r w:rsidRPr="00AD4EED">
        <w:rPr>
          <w:rFonts w:ascii="Calibri" w:hAnsi="Calibri" w:cs="Calibri"/>
          <w:sz w:val="20"/>
          <w:szCs w:val="20"/>
        </w:rPr>
        <w:t>Laboratory</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Tests</w:t>
      </w:r>
      <w:proofErr w:type="spellEnd"/>
      <w:r w:rsidRPr="00AD4EED">
        <w:rPr>
          <w:rFonts w:ascii="Calibri" w:hAnsi="Calibri" w:cs="Calibri"/>
          <w:sz w:val="20"/>
          <w:szCs w:val="20"/>
        </w:rPr>
        <w:t xml:space="preserve">, 3rd </w:t>
      </w:r>
      <w:proofErr w:type="spellStart"/>
      <w:r w:rsidRPr="00AD4EED">
        <w:rPr>
          <w:rFonts w:ascii="Calibri" w:hAnsi="Calibri" w:cs="Calibri"/>
          <w:sz w:val="20"/>
          <w:szCs w:val="20"/>
        </w:rPr>
        <w:t>edition</w:t>
      </w:r>
      <w:proofErr w:type="spellEnd"/>
      <w:r w:rsidRPr="00AD4EED">
        <w:rPr>
          <w:rFonts w:ascii="Calibri" w:hAnsi="Calibri" w:cs="Calibri"/>
          <w:sz w:val="20"/>
          <w:szCs w:val="20"/>
        </w:rPr>
        <w:t xml:space="preserve">. Philadelphia, Pa. WB </w:t>
      </w:r>
      <w:proofErr w:type="spellStart"/>
      <w:r w:rsidRPr="00AD4EED">
        <w:rPr>
          <w:rFonts w:ascii="Calibri" w:hAnsi="Calibri" w:cs="Calibri"/>
          <w:sz w:val="20"/>
          <w:szCs w:val="20"/>
        </w:rPr>
        <w:t>Saunders</w:t>
      </w:r>
      <w:proofErr w:type="spellEnd"/>
      <w:r w:rsidRPr="00AD4EED">
        <w:rPr>
          <w:rFonts w:ascii="Calibri" w:hAnsi="Calibri" w:cs="Calibri"/>
          <w:sz w:val="20"/>
          <w:szCs w:val="20"/>
        </w:rPr>
        <w:t xml:space="preserve"> Co. 1995:594.</w:t>
      </w:r>
    </w:p>
    <w:p w:rsidR="00AD4EED" w:rsidRDefault="00AD4EED" w:rsidP="00AD4EED">
      <w:pPr>
        <w:pStyle w:val="Normlnweb"/>
        <w:rPr>
          <w:rFonts w:ascii="Calibri" w:hAnsi="Calibri" w:cs="Calibri"/>
          <w:b/>
          <w:bCs/>
          <w:sz w:val="20"/>
          <w:szCs w:val="20"/>
        </w:rPr>
      </w:pPr>
      <w:r w:rsidRPr="00AD4EED">
        <w:rPr>
          <w:rFonts w:ascii="Calibri" w:hAnsi="Calibri" w:cs="Calibri"/>
          <w:sz w:val="20"/>
          <w:szCs w:val="20"/>
        </w:rPr>
        <w:t xml:space="preserve">8. </w:t>
      </w:r>
      <w:proofErr w:type="spellStart"/>
      <w:r w:rsidRPr="00AD4EED">
        <w:rPr>
          <w:rFonts w:ascii="Calibri" w:hAnsi="Calibri" w:cs="Calibri"/>
          <w:sz w:val="20"/>
          <w:szCs w:val="20"/>
        </w:rPr>
        <w:t>Passing</w:t>
      </w:r>
      <w:proofErr w:type="spellEnd"/>
      <w:r w:rsidRPr="00AD4EED">
        <w:rPr>
          <w:rFonts w:ascii="Calibri" w:hAnsi="Calibri" w:cs="Calibri"/>
          <w:sz w:val="20"/>
          <w:szCs w:val="20"/>
        </w:rPr>
        <w:t xml:space="preserve"> H, </w:t>
      </w:r>
      <w:proofErr w:type="spellStart"/>
      <w:r w:rsidRPr="00AD4EED">
        <w:rPr>
          <w:rFonts w:ascii="Calibri" w:hAnsi="Calibri" w:cs="Calibri"/>
          <w:sz w:val="20"/>
          <w:szCs w:val="20"/>
        </w:rPr>
        <w:t>Bablok</w:t>
      </w:r>
      <w:proofErr w:type="spellEnd"/>
      <w:r w:rsidRPr="00AD4EED">
        <w:rPr>
          <w:rFonts w:ascii="Calibri" w:hAnsi="Calibri" w:cs="Calibri"/>
          <w:sz w:val="20"/>
          <w:szCs w:val="20"/>
        </w:rPr>
        <w:t xml:space="preserve"> W, et al. A General </w:t>
      </w:r>
      <w:proofErr w:type="spellStart"/>
      <w:r w:rsidRPr="00AD4EED">
        <w:rPr>
          <w:rFonts w:ascii="Calibri" w:hAnsi="Calibri" w:cs="Calibri"/>
          <w:sz w:val="20"/>
          <w:szCs w:val="20"/>
        </w:rPr>
        <w:t>Regression</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Procedure</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for</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Method</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Transformation</w:t>
      </w:r>
      <w:proofErr w:type="spellEnd"/>
      <w:r w:rsidRPr="00AD4EED">
        <w:rPr>
          <w:rFonts w:ascii="Calibri" w:hAnsi="Calibri" w:cs="Calibri"/>
          <w:sz w:val="20"/>
          <w:szCs w:val="20"/>
        </w:rPr>
        <w:t xml:space="preserve">. J </w:t>
      </w:r>
      <w:proofErr w:type="spellStart"/>
      <w:r w:rsidRPr="00AD4EED">
        <w:rPr>
          <w:rFonts w:ascii="Calibri" w:hAnsi="Calibri" w:cs="Calibri"/>
          <w:sz w:val="20"/>
          <w:szCs w:val="20"/>
        </w:rPr>
        <w:t>Clin</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Chem</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Clin</w:t>
      </w:r>
      <w:proofErr w:type="spellEnd"/>
      <w:r w:rsidRPr="00AD4EED">
        <w:rPr>
          <w:rFonts w:ascii="Calibri" w:hAnsi="Calibri" w:cs="Calibri"/>
          <w:sz w:val="20"/>
          <w:szCs w:val="20"/>
        </w:rPr>
        <w:t xml:space="preserve"> </w:t>
      </w:r>
      <w:proofErr w:type="spellStart"/>
      <w:r w:rsidRPr="00AD4EED">
        <w:rPr>
          <w:rFonts w:ascii="Calibri" w:hAnsi="Calibri" w:cs="Calibri"/>
          <w:sz w:val="20"/>
          <w:szCs w:val="20"/>
        </w:rPr>
        <w:t>Biochem</w:t>
      </w:r>
      <w:proofErr w:type="spellEnd"/>
      <w:r w:rsidRPr="00AD4EED">
        <w:rPr>
          <w:rFonts w:ascii="Calibri" w:hAnsi="Calibri" w:cs="Calibri"/>
          <w:sz w:val="20"/>
          <w:szCs w:val="20"/>
        </w:rPr>
        <w:t xml:space="preserve"> 1988;26:783-790.</w:t>
      </w:r>
      <w:r w:rsidRPr="00AD4EED">
        <w:rPr>
          <w:rFonts w:ascii="Calibri" w:hAnsi="Calibri" w:cs="Calibri"/>
          <w:b/>
          <w:bCs/>
          <w:sz w:val="20"/>
          <w:szCs w:val="20"/>
        </w:rPr>
        <w:t xml:space="preserve"> </w:t>
      </w:r>
    </w:p>
    <w:p w:rsidR="00BB24C1" w:rsidRPr="00BB24C1" w:rsidRDefault="00BB24C1" w:rsidP="00AD4EED">
      <w:pPr>
        <w:pStyle w:val="Normlnweb"/>
        <w:rPr>
          <w:rFonts w:ascii="Calibri" w:hAnsi="Calibri" w:cs="Calibri"/>
          <w:sz w:val="20"/>
          <w:szCs w:val="20"/>
        </w:rPr>
      </w:pPr>
      <w:r w:rsidRPr="00BB24C1">
        <w:rPr>
          <w:rFonts w:ascii="Calibri" w:hAnsi="Calibri" w:cs="Calibri"/>
          <w:b/>
          <w:bCs/>
          <w:sz w:val="20"/>
          <w:szCs w:val="20"/>
        </w:rPr>
        <w:t>Výrobce:</w:t>
      </w:r>
      <w:r w:rsidRPr="00BB24C1">
        <w:rPr>
          <w:rFonts w:ascii="Calibri" w:hAnsi="Calibri" w:cs="Calibri"/>
          <w:sz w:val="20"/>
          <w:szCs w:val="20"/>
        </w:rPr>
        <w:t xml:space="preserve"> </w:t>
      </w:r>
      <w:proofErr w:type="spellStart"/>
      <w:r w:rsidRPr="00BB24C1">
        <w:rPr>
          <w:rFonts w:ascii="Calibri" w:hAnsi="Calibri" w:cs="Calibri"/>
          <w:sz w:val="20"/>
          <w:szCs w:val="20"/>
        </w:rPr>
        <w:t>Guangzhou</w:t>
      </w:r>
      <w:proofErr w:type="spellEnd"/>
      <w:r w:rsidRPr="00BB24C1">
        <w:rPr>
          <w:rFonts w:ascii="Calibri" w:hAnsi="Calibri" w:cs="Calibri"/>
          <w:sz w:val="20"/>
          <w:szCs w:val="20"/>
        </w:rPr>
        <w:t xml:space="preserve"> </w:t>
      </w:r>
      <w:proofErr w:type="spellStart"/>
      <w:r w:rsidRPr="00BB24C1">
        <w:rPr>
          <w:rFonts w:ascii="Calibri" w:hAnsi="Calibri" w:cs="Calibri"/>
          <w:sz w:val="20"/>
          <w:szCs w:val="20"/>
        </w:rPr>
        <w:t>Wondfo</w:t>
      </w:r>
      <w:proofErr w:type="spellEnd"/>
      <w:r w:rsidRPr="00BB24C1">
        <w:rPr>
          <w:rFonts w:ascii="Calibri" w:hAnsi="Calibri" w:cs="Calibri"/>
          <w:sz w:val="20"/>
          <w:szCs w:val="20"/>
        </w:rPr>
        <w:t xml:space="preserve"> </w:t>
      </w:r>
      <w:proofErr w:type="spellStart"/>
      <w:r w:rsidRPr="00BB24C1">
        <w:rPr>
          <w:rFonts w:ascii="Calibri" w:hAnsi="Calibri" w:cs="Calibri"/>
          <w:sz w:val="20"/>
          <w:szCs w:val="20"/>
        </w:rPr>
        <w:t>Biotech</w:t>
      </w:r>
      <w:proofErr w:type="spellEnd"/>
      <w:r w:rsidRPr="00BB24C1">
        <w:rPr>
          <w:rFonts w:ascii="Calibri" w:hAnsi="Calibri" w:cs="Calibri"/>
          <w:sz w:val="20"/>
          <w:szCs w:val="20"/>
        </w:rPr>
        <w:t xml:space="preserve"> Co., Ltd</w:t>
      </w:r>
    </w:p>
    <w:p w:rsidR="00BB24C1" w:rsidRPr="00BB24C1" w:rsidRDefault="00BB24C1" w:rsidP="00BB24C1">
      <w:pPr>
        <w:pStyle w:val="Normlnweb"/>
        <w:rPr>
          <w:rFonts w:ascii="Calibri" w:hAnsi="Calibri" w:cs="Calibri"/>
          <w:sz w:val="20"/>
          <w:szCs w:val="20"/>
        </w:rPr>
      </w:pPr>
      <w:r w:rsidRPr="00BB24C1">
        <w:rPr>
          <w:rFonts w:ascii="Calibri" w:hAnsi="Calibri" w:cs="Calibri"/>
          <w:sz w:val="20"/>
          <w:szCs w:val="20"/>
        </w:rPr>
        <w:t xml:space="preserve">Č. 8 </w:t>
      </w:r>
      <w:proofErr w:type="spellStart"/>
      <w:r w:rsidRPr="00BB24C1">
        <w:rPr>
          <w:rFonts w:ascii="Calibri" w:hAnsi="Calibri" w:cs="Calibri"/>
          <w:sz w:val="20"/>
          <w:szCs w:val="20"/>
        </w:rPr>
        <w:t>Lizhishan</w:t>
      </w:r>
      <w:proofErr w:type="spellEnd"/>
      <w:r w:rsidRPr="00BB24C1">
        <w:rPr>
          <w:rFonts w:ascii="Calibri" w:hAnsi="Calibri" w:cs="Calibri"/>
          <w:sz w:val="20"/>
          <w:szCs w:val="20"/>
        </w:rPr>
        <w:t xml:space="preserve"> </w:t>
      </w:r>
      <w:proofErr w:type="spellStart"/>
      <w:r w:rsidRPr="00BB24C1">
        <w:rPr>
          <w:rFonts w:ascii="Calibri" w:hAnsi="Calibri" w:cs="Calibri"/>
          <w:sz w:val="20"/>
          <w:szCs w:val="20"/>
        </w:rPr>
        <w:t>Road</w:t>
      </w:r>
      <w:proofErr w:type="spellEnd"/>
      <w:r w:rsidRPr="00BB24C1">
        <w:rPr>
          <w:rFonts w:ascii="Calibri" w:hAnsi="Calibri" w:cs="Calibri"/>
          <w:sz w:val="20"/>
          <w:szCs w:val="20"/>
        </w:rPr>
        <w:t xml:space="preserve">, Science City, </w:t>
      </w:r>
      <w:proofErr w:type="spellStart"/>
      <w:r w:rsidRPr="00BB24C1">
        <w:rPr>
          <w:rFonts w:ascii="Calibri" w:hAnsi="Calibri" w:cs="Calibri"/>
          <w:sz w:val="20"/>
          <w:szCs w:val="20"/>
        </w:rPr>
        <w:t>Luogang</w:t>
      </w:r>
      <w:proofErr w:type="spellEnd"/>
      <w:r w:rsidRPr="00BB24C1">
        <w:rPr>
          <w:rFonts w:ascii="Calibri" w:hAnsi="Calibri" w:cs="Calibri"/>
          <w:sz w:val="20"/>
          <w:szCs w:val="20"/>
        </w:rPr>
        <w:t xml:space="preserve"> </w:t>
      </w:r>
      <w:proofErr w:type="spellStart"/>
      <w:r w:rsidRPr="00BB24C1">
        <w:rPr>
          <w:rFonts w:ascii="Calibri" w:hAnsi="Calibri" w:cs="Calibri"/>
          <w:sz w:val="20"/>
          <w:szCs w:val="20"/>
        </w:rPr>
        <w:t>District</w:t>
      </w:r>
      <w:proofErr w:type="spellEnd"/>
      <w:r w:rsidRPr="00BB24C1">
        <w:rPr>
          <w:rFonts w:ascii="Calibri" w:hAnsi="Calibri" w:cs="Calibri"/>
          <w:sz w:val="20"/>
          <w:szCs w:val="20"/>
        </w:rPr>
        <w:t xml:space="preserve">, 510663, </w:t>
      </w:r>
      <w:proofErr w:type="spellStart"/>
      <w:r w:rsidRPr="00BB24C1">
        <w:rPr>
          <w:rFonts w:ascii="Calibri" w:hAnsi="Calibri" w:cs="Calibri"/>
          <w:sz w:val="20"/>
          <w:szCs w:val="20"/>
        </w:rPr>
        <w:t>Guangzhou</w:t>
      </w:r>
      <w:proofErr w:type="spellEnd"/>
      <w:r w:rsidRPr="00BB24C1">
        <w:rPr>
          <w:rFonts w:ascii="Calibri" w:hAnsi="Calibri" w:cs="Calibri"/>
          <w:sz w:val="20"/>
          <w:szCs w:val="20"/>
        </w:rPr>
        <w:t>, P.R. Čína</w:t>
      </w:r>
    </w:p>
    <w:p w:rsidR="00BB24C1" w:rsidRPr="00BB24C1" w:rsidRDefault="00BB24C1" w:rsidP="00BB24C1">
      <w:pPr>
        <w:pStyle w:val="Normlnweb"/>
        <w:rPr>
          <w:rFonts w:ascii="Calibri" w:hAnsi="Calibri" w:cs="Calibri"/>
          <w:sz w:val="20"/>
          <w:szCs w:val="20"/>
        </w:rPr>
      </w:pPr>
      <w:r w:rsidRPr="00BB24C1">
        <w:rPr>
          <w:rFonts w:ascii="Calibri" w:hAnsi="Calibri" w:cs="Calibri"/>
          <w:b/>
          <w:bCs/>
          <w:sz w:val="20"/>
          <w:szCs w:val="20"/>
        </w:rPr>
        <w:t>EC REP:</w:t>
      </w:r>
      <w:r w:rsidRPr="00BB24C1">
        <w:rPr>
          <w:rFonts w:ascii="Calibri" w:hAnsi="Calibri" w:cs="Calibri"/>
          <w:sz w:val="20"/>
          <w:szCs w:val="20"/>
        </w:rPr>
        <w:t xml:space="preserve"> </w:t>
      </w:r>
      <w:proofErr w:type="spellStart"/>
      <w:r w:rsidRPr="00BB24C1">
        <w:rPr>
          <w:rFonts w:ascii="Calibri" w:hAnsi="Calibri" w:cs="Calibri"/>
          <w:sz w:val="20"/>
          <w:szCs w:val="20"/>
        </w:rPr>
        <w:t>Qarad</w:t>
      </w:r>
      <w:proofErr w:type="spellEnd"/>
      <w:r w:rsidRPr="00BB24C1">
        <w:rPr>
          <w:rFonts w:ascii="Calibri" w:hAnsi="Calibri" w:cs="Calibri"/>
          <w:sz w:val="20"/>
          <w:szCs w:val="20"/>
        </w:rPr>
        <w:t xml:space="preserve"> </w:t>
      </w:r>
      <w:proofErr w:type="spellStart"/>
      <w:r w:rsidRPr="00BB24C1">
        <w:rPr>
          <w:rFonts w:ascii="Calibri" w:hAnsi="Calibri" w:cs="Calibri"/>
          <w:sz w:val="20"/>
          <w:szCs w:val="20"/>
        </w:rPr>
        <w:t>b.v.b.a</w:t>
      </w:r>
      <w:proofErr w:type="spellEnd"/>
      <w:r w:rsidRPr="00BB24C1">
        <w:rPr>
          <w:rFonts w:ascii="Calibri" w:hAnsi="Calibri" w:cs="Calibri"/>
          <w:sz w:val="20"/>
          <w:szCs w:val="20"/>
        </w:rPr>
        <w:t xml:space="preserve">. </w:t>
      </w:r>
      <w:proofErr w:type="spellStart"/>
      <w:r w:rsidRPr="00BB24C1">
        <w:rPr>
          <w:rFonts w:ascii="Calibri" w:hAnsi="Calibri" w:cs="Calibri"/>
          <w:sz w:val="20"/>
          <w:szCs w:val="20"/>
        </w:rPr>
        <w:t>Cipalstraat</w:t>
      </w:r>
      <w:proofErr w:type="spellEnd"/>
      <w:r w:rsidRPr="00BB24C1">
        <w:rPr>
          <w:rFonts w:ascii="Calibri" w:hAnsi="Calibri" w:cs="Calibri"/>
          <w:sz w:val="20"/>
          <w:szCs w:val="20"/>
        </w:rPr>
        <w:t xml:space="preserve"> 3</w:t>
      </w:r>
    </w:p>
    <w:p w:rsidR="00BB24C1" w:rsidRDefault="00BB24C1" w:rsidP="00BB24C1">
      <w:pPr>
        <w:pStyle w:val="Normlnweb"/>
        <w:rPr>
          <w:rFonts w:ascii="Calibri" w:hAnsi="Calibri" w:cs="Calibri"/>
          <w:sz w:val="20"/>
          <w:szCs w:val="20"/>
        </w:rPr>
      </w:pPr>
      <w:r w:rsidRPr="00BB24C1">
        <w:rPr>
          <w:rFonts w:ascii="Calibri" w:hAnsi="Calibri" w:cs="Calibri"/>
          <w:sz w:val="20"/>
          <w:szCs w:val="20"/>
        </w:rPr>
        <w:t xml:space="preserve">B-2440 </w:t>
      </w:r>
      <w:proofErr w:type="spellStart"/>
      <w:r w:rsidRPr="00BB24C1">
        <w:rPr>
          <w:rFonts w:ascii="Calibri" w:hAnsi="Calibri" w:cs="Calibri"/>
          <w:sz w:val="20"/>
          <w:szCs w:val="20"/>
        </w:rPr>
        <w:t>Geel</w:t>
      </w:r>
      <w:proofErr w:type="spellEnd"/>
      <w:r w:rsidRPr="00BB24C1">
        <w:rPr>
          <w:rFonts w:ascii="Calibri" w:hAnsi="Calibri" w:cs="Calibri"/>
          <w:sz w:val="20"/>
          <w:szCs w:val="20"/>
        </w:rPr>
        <w:t>, Belgie</w:t>
      </w:r>
    </w:p>
    <w:p w:rsidR="00050B33" w:rsidRDefault="00050B33" w:rsidP="00BB24C1">
      <w:pPr>
        <w:pStyle w:val="Normlnweb"/>
        <w:rPr>
          <w:rFonts w:ascii="Calibri" w:hAnsi="Calibri" w:cs="Calibri"/>
          <w:sz w:val="20"/>
          <w:szCs w:val="20"/>
        </w:rPr>
      </w:pPr>
      <w:r w:rsidRPr="00050B33">
        <w:rPr>
          <w:rFonts w:ascii="Calibri" w:hAnsi="Calibri" w:cs="Calibri"/>
          <w:b/>
          <w:bCs/>
          <w:sz w:val="20"/>
          <w:szCs w:val="20"/>
        </w:rPr>
        <w:t>Dovozce do ČR</w:t>
      </w:r>
      <w:r>
        <w:rPr>
          <w:rFonts w:ascii="Calibri" w:hAnsi="Calibri" w:cs="Calibri"/>
          <w:sz w:val="20"/>
          <w:szCs w:val="20"/>
        </w:rPr>
        <w:t xml:space="preserve">: MEDICALIS – Mgr. Petr </w:t>
      </w:r>
      <w:proofErr w:type="spellStart"/>
      <w:r>
        <w:rPr>
          <w:rFonts w:ascii="Calibri" w:hAnsi="Calibri" w:cs="Calibri"/>
          <w:sz w:val="20"/>
          <w:szCs w:val="20"/>
        </w:rPr>
        <w:t>Oravski</w:t>
      </w:r>
      <w:proofErr w:type="spellEnd"/>
      <w:r>
        <w:rPr>
          <w:rFonts w:ascii="Calibri" w:hAnsi="Calibri" w:cs="Calibri"/>
          <w:sz w:val="20"/>
          <w:szCs w:val="20"/>
        </w:rPr>
        <w:t>, U lesa 772/26, Karviná 4, email: obchod@medicalis.cz</w:t>
      </w:r>
    </w:p>
    <w:p w:rsidR="00050B33" w:rsidRDefault="00050B33" w:rsidP="00BB24C1">
      <w:pPr>
        <w:pStyle w:val="Normlnweb"/>
        <w:rPr>
          <w:rFonts w:ascii="Calibri" w:hAnsi="Calibri" w:cs="Calibri"/>
          <w:sz w:val="20"/>
          <w:szCs w:val="20"/>
        </w:rPr>
      </w:pPr>
    </w:p>
    <w:p w:rsidR="00BB24C1" w:rsidRPr="00050B33" w:rsidRDefault="00BB24C1" w:rsidP="00BB24C1">
      <w:pPr>
        <w:pStyle w:val="Normlnweb"/>
        <w:rPr>
          <w:rFonts w:ascii="Calibri" w:hAnsi="Calibri" w:cs="Calibri"/>
          <w:b/>
          <w:bCs/>
          <w:sz w:val="20"/>
          <w:szCs w:val="20"/>
        </w:rPr>
      </w:pPr>
      <w:r w:rsidRPr="00050B33">
        <w:rPr>
          <w:rFonts w:ascii="Calibri" w:hAnsi="Calibri" w:cs="Calibri"/>
          <w:b/>
          <w:bCs/>
          <w:sz w:val="20"/>
          <w:szCs w:val="20"/>
        </w:rPr>
        <w:t>Symboly</w:t>
      </w:r>
    </w:p>
    <w:p w:rsidR="00050B33" w:rsidRDefault="00BB24C1" w:rsidP="00BB24C1">
      <w:pPr>
        <w:pStyle w:val="Normlnweb"/>
        <w:rPr>
          <w:rFonts w:ascii="Calibri" w:hAnsi="Calibri" w:cs="Calibri"/>
          <w:sz w:val="20"/>
          <w:szCs w:val="20"/>
        </w:rPr>
      </w:pPr>
      <w:r>
        <w:rPr>
          <w:rFonts w:ascii="Calibri" w:hAnsi="Calibri" w:cs="Calibri"/>
          <w:noProof/>
          <w:sz w:val="20"/>
          <w:szCs w:val="20"/>
        </w:rPr>
        <w:drawing>
          <wp:anchor distT="0" distB="0" distL="114300" distR="114300" simplePos="0" relativeHeight="251658240" behindDoc="0" locked="0" layoutInCell="1" allowOverlap="1">
            <wp:simplePos x="0" y="0"/>
            <wp:positionH relativeFrom="column">
              <wp:posOffset>3030</wp:posOffset>
            </wp:positionH>
            <wp:positionV relativeFrom="paragraph">
              <wp:posOffset>69617</wp:posOffset>
            </wp:positionV>
            <wp:extent cx="289367" cy="1446835"/>
            <wp:effectExtent l="0" t="0" r="3175" b="127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nímek obrazovky 2019-09-24 v 10.59.25.png"/>
                    <pic:cNvPicPr/>
                  </pic:nvPicPr>
                  <pic:blipFill>
                    <a:blip r:embed="rId5">
                      <a:extLst>
                        <a:ext uri="{28A0092B-C50C-407E-A947-70E740481C1C}">
                          <a14:useLocalDpi xmlns:a14="http://schemas.microsoft.com/office/drawing/2010/main" val="0"/>
                        </a:ext>
                      </a:extLst>
                    </a:blip>
                    <a:stretch>
                      <a:fillRect/>
                    </a:stretch>
                  </pic:blipFill>
                  <pic:spPr>
                    <a:xfrm>
                      <a:off x="0" y="0"/>
                      <a:ext cx="319913" cy="1599563"/>
                    </a:xfrm>
                    <a:prstGeom prst="rect">
                      <a:avLst/>
                    </a:prstGeom>
                  </pic:spPr>
                </pic:pic>
              </a:graphicData>
            </a:graphic>
            <wp14:sizeRelH relativeFrom="margin">
              <wp14:pctWidth>0</wp14:pctWidth>
            </wp14:sizeRelH>
            <wp14:sizeRelV relativeFrom="margin">
              <wp14:pctHeight>0</wp14:pctHeight>
            </wp14:sizeRelV>
          </wp:anchor>
        </w:drawing>
      </w:r>
      <w:r w:rsidR="00050B33">
        <w:rPr>
          <w:rFonts w:ascii="Calibri" w:hAnsi="Calibri" w:cs="Calibri"/>
          <w:sz w:val="20"/>
          <w:szCs w:val="20"/>
        </w:rPr>
        <w:t xml:space="preserve">           Prostudujte návod</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Pro in-vitro diagnostické použití</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Skladovací </w:t>
      </w:r>
      <w:proofErr w:type="spellStart"/>
      <w:r>
        <w:rPr>
          <w:rFonts w:ascii="Calibri" w:hAnsi="Calibri" w:cs="Calibri"/>
          <w:sz w:val="20"/>
          <w:szCs w:val="20"/>
        </w:rPr>
        <w:t>teolota</w:t>
      </w:r>
      <w:proofErr w:type="spellEnd"/>
      <w:r>
        <w:rPr>
          <w:rFonts w:ascii="Calibri" w:hAnsi="Calibri" w:cs="Calibri"/>
          <w:sz w:val="20"/>
          <w:szCs w:val="20"/>
        </w:rPr>
        <w:t xml:space="preserve"> 4-30 st Celsia</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Chraňte před slunečním světlem</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Výrobce</w:t>
      </w:r>
    </w:p>
    <w:p w:rsidR="00050B33" w:rsidRDefault="00050B33" w:rsidP="00BB24C1">
      <w:pPr>
        <w:pStyle w:val="Normlnweb"/>
        <w:rPr>
          <w:rFonts w:ascii="Calibri" w:hAnsi="Calibri" w:cs="Calibri"/>
          <w:sz w:val="20"/>
          <w:szCs w:val="20"/>
        </w:rPr>
      </w:pPr>
      <w:r>
        <w:rPr>
          <w:rFonts w:ascii="Calibri" w:hAnsi="Calibri" w:cs="Calibri"/>
          <w:noProof/>
          <w:sz w:val="20"/>
          <w:szCs w:val="20"/>
        </w:rPr>
        <w:drawing>
          <wp:anchor distT="0" distB="0" distL="114300" distR="114300" simplePos="0" relativeHeight="251659264" behindDoc="0" locked="0" layoutInCell="1" allowOverlap="1">
            <wp:simplePos x="0" y="0"/>
            <wp:positionH relativeFrom="column">
              <wp:posOffset>-635</wp:posOffset>
            </wp:positionH>
            <wp:positionV relativeFrom="paragraph">
              <wp:posOffset>25633</wp:posOffset>
            </wp:positionV>
            <wp:extent cx="292338" cy="1192193"/>
            <wp:effectExtent l="0" t="0" r="0" b="190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nímek obrazovky 2019-09-24 v 11.00.04.png"/>
                    <pic:cNvPicPr/>
                  </pic:nvPicPr>
                  <pic:blipFill>
                    <a:blip r:embed="rId6">
                      <a:extLst>
                        <a:ext uri="{28A0092B-C50C-407E-A947-70E740481C1C}">
                          <a14:useLocalDpi xmlns:a14="http://schemas.microsoft.com/office/drawing/2010/main" val="0"/>
                        </a:ext>
                      </a:extLst>
                    </a:blip>
                    <a:stretch>
                      <a:fillRect/>
                    </a:stretch>
                  </pic:blipFill>
                  <pic:spPr>
                    <a:xfrm flipH="1">
                      <a:off x="0" y="0"/>
                      <a:ext cx="292338" cy="1192193"/>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Calibri"/>
          <w:sz w:val="20"/>
          <w:szCs w:val="20"/>
        </w:rPr>
        <w:t xml:space="preserve">           Testy v sadě</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Datum </w:t>
      </w:r>
      <w:proofErr w:type="spellStart"/>
      <w:r>
        <w:rPr>
          <w:rFonts w:ascii="Calibri" w:hAnsi="Calibri" w:cs="Calibri"/>
          <w:sz w:val="20"/>
          <w:szCs w:val="20"/>
        </w:rPr>
        <w:t>expirace</w:t>
      </w:r>
      <w:proofErr w:type="spellEnd"/>
    </w:p>
    <w:p w:rsidR="00050B33" w:rsidRDefault="00050B33" w:rsidP="00BB24C1">
      <w:pPr>
        <w:pStyle w:val="Normlnweb"/>
        <w:rPr>
          <w:rFonts w:ascii="Calibri" w:hAnsi="Calibri" w:cs="Calibri"/>
          <w:sz w:val="20"/>
          <w:szCs w:val="20"/>
        </w:rPr>
      </w:pPr>
      <w:r>
        <w:rPr>
          <w:rFonts w:ascii="Calibri" w:hAnsi="Calibri" w:cs="Calibri"/>
          <w:sz w:val="20"/>
          <w:szCs w:val="20"/>
        </w:rPr>
        <w:t xml:space="preserve">           Číslo šarže</w:t>
      </w:r>
    </w:p>
    <w:p w:rsidR="00050B33" w:rsidRDefault="00050B33" w:rsidP="00BB24C1">
      <w:pPr>
        <w:pStyle w:val="Normlnweb"/>
        <w:rPr>
          <w:rFonts w:ascii="Calibri" w:hAnsi="Calibri" w:cs="Calibri"/>
          <w:sz w:val="20"/>
          <w:szCs w:val="20"/>
        </w:rPr>
      </w:pPr>
      <w:r>
        <w:rPr>
          <w:rFonts w:ascii="Calibri" w:hAnsi="Calibri" w:cs="Calibri"/>
          <w:noProof/>
          <w:sz w:val="20"/>
          <w:szCs w:val="20"/>
        </w:rPr>
        <w:drawing>
          <wp:anchor distT="0" distB="0" distL="114300" distR="114300" simplePos="0" relativeHeight="251660288" behindDoc="0" locked="0" layoutInCell="1" allowOverlap="1">
            <wp:simplePos x="0" y="0"/>
            <wp:positionH relativeFrom="column">
              <wp:posOffset>3029</wp:posOffset>
            </wp:positionH>
            <wp:positionV relativeFrom="paragraph">
              <wp:posOffset>248646</wp:posOffset>
            </wp:positionV>
            <wp:extent cx="292485" cy="1238491"/>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nímek obrazovky 2019-09-24 v 11.00.13.png"/>
                    <pic:cNvPicPr/>
                  </pic:nvPicPr>
                  <pic:blipFill>
                    <a:blip r:embed="rId7">
                      <a:extLst>
                        <a:ext uri="{28A0092B-C50C-407E-A947-70E740481C1C}">
                          <a14:useLocalDpi xmlns:a14="http://schemas.microsoft.com/office/drawing/2010/main" val="0"/>
                        </a:ext>
                      </a:extLst>
                    </a:blip>
                    <a:stretch>
                      <a:fillRect/>
                    </a:stretch>
                  </pic:blipFill>
                  <pic:spPr>
                    <a:xfrm>
                      <a:off x="0" y="0"/>
                      <a:ext cx="303597" cy="1285542"/>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Calibri"/>
          <w:sz w:val="20"/>
          <w:szCs w:val="20"/>
        </w:rPr>
        <w:t xml:space="preserve">           Uchovejte v suchu</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Výrobce</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Nepoužívejte opakovaně</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Katalogové číslo</w:t>
      </w:r>
    </w:p>
    <w:p w:rsidR="00050B33" w:rsidRDefault="00050B33" w:rsidP="00BB24C1">
      <w:pPr>
        <w:pStyle w:val="Normlnweb"/>
        <w:rPr>
          <w:rFonts w:ascii="Calibri" w:hAnsi="Calibri" w:cs="Calibri"/>
          <w:sz w:val="20"/>
          <w:szCs w:val="20"/>
        </w:rPr>
      </w:pPr>
      <w:r>
        <w:rPr>
          <w:rFonts w:ascii="Calibri" w:hAnsi="Calibri" w:cs="Calibri"/>
          <w:sz w:val="20"/>
          <w:szCs w:val="20"/>
        </w:rPr>
        <w:t xml:space="preserve">           Zástupce v EU</w:t>
      </w:r>
    </w:p>
    <w:p w:rsidR="00050B33" w:rsidRDefault="00050B33" w:rsidP="00BB24C1">
      <w:pPr>
        <w:pStyle w:val="Normlnweb"/>
        <w:rPr>
          <w:rFonts w:ascii="Calibri" w:hAnsi="Calibri" w:cs="Calibri"/>
          <w:sz w:val="20"/>
          <w:szCs w:val="20"/>
        </w:rPr>
      </w:pPr>
      <w:r>
        <w:rPr>
          <w:rFonts w:ascii="Calibri" w:hAnsi="Calibri" w:cs="Calibri"/>
          <w:sz w:val="20"/>
          <w:szCs w:val="20"/>
        </w:rPr>
        <w:tab/>
      </w:r>
    </w:p>
    <w:p w:rsidR="00050B33" w:rsidRDefault="00050B33" w:rsidP="00BB24C1">
      <w:pPr>
        <w:pStyle w:val="Normlnweb"/>
        <w:rPr>
          <w:rFonts w:ascii="Calibri" w:hAnsi="Calibri" w:cs="Calibri"/>
          <w:sz w:val="20"/>
          <w:szCs w:val="20"/>
        </w:rPr>
      </w:pPr>
      <w:r>
        <w:rPr>
          <w:rFonts w:ascii="Calibri" w:hAnsi="Calibri" w:cs="Calibri"/>
          <w:sz w:val="20"/>
          <w:szCs w:val="20"/>
        </w:rPr>
        <w:t xml:space="preserve">           </w:t>
      </w:r>
    </w:p>
    <w:p w:rsidR="00BB24C1" w:rsidRDefault="00BB24C1" w:rsidP="00BB24C1">
      <w:pPr>
        <w:pStyle w:val="Normlnweb"/>
        <w:rPr>
          <w:rFonts w:ascii="Calibri" w:hAnsi="Calibri" w:cs="Calibri"/>
          <w:sz w:val="20"/>
          <w:szCs w:val="20"/>
        </w:rPr>
      </w:pPr>
    </w:p>
    <w:p w:rsidR="00BB24C1" w:rsidRDefault="00BB24C1" w:rsidP="00BB24C1">
      <w:pPr>
        <w:pStyle w:val="Normlnweb"/>
        <w:rPr>
          <w:rFonts w:ascii="Calibri" w:hAnsi="Calibri" w:cs="Calibri"/>
          <w:sz w:val="20"/>
          <w:szCs w:val="20"/>
        </w:rPr>
      </w:pPr>
    </w:p>
    <w:p w:rsidR="00F632FC" w:rsidRDefault="00F632FC" w:rsidP="00F632FC">
      <w:pPr>
        <w:pStyle w:val="Normlnweb"/>
        <w:rPr>
          <w:rFonts w:ascii="Calibri" w:hAnsi="Calibri" w:cs="Calibri"/>
          <w:sz w:val="20"/>
          <w:szCs w:val="20"/>
        </w:rPr>
      </w:pPr>
    </w:p>
    <w:p w:rsidR="00F632FC" w:rsidRPr="00755805" w:rsidRDefault="00F632FC" w:rsidP="00F632FC">
      <w:pPr>
        <w:pStyle w:val="Normlnweb"/>
        <w:rPr>
          <w:rFonts w:ascii="Calibri" w:hAnsi="Calibri" w:cs="Calibri"/>
          <w:sz w:val="20"/>
          <w:szCs w:val="20"/>
        </w:rPr>
      </w:pPr>
    </w:p>
    <w:p w:rsidR="00755805" w:rsidRDefault="00755805" w:rsidP="00755805">
      <w:pPr>
        <w:pStyle w:val="Normlnweb"/>
        <w:rPr>
          <w:rFonts w:ascii="Calibri" w:hAnsi="Calibri" w:cs="Calibri"/>
          <w:sz w:val="20"/>
          <w:szCs w:val="20"/>
        </w:rPr>
      </w:pPr>
    </w:p>
    <w:p w:rsidR="00C53E8B" w:rsidRDefault="00FE2171" w:rsidP="00994AD8">
      <w:pPr>
        <w:jc w:val="center"/>
      </w:pPr>
    </w:p>
    <w:sectPr w:rsidR="00C53E8B" w:rsidSect="00982FF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D7A7E"/>
    <w:multiLevelType w:val="hybridMultilevel"/>
    <w:tmpl w:val="516286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570F15A8"/>
    <w:multiLevelType w:val="hybridMultilevel"/>
    <w:tmpl w:val="0032F9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AD8"/>
    <w:rsid w:val="00050B33"/>
    <w:rsid w:val="00385197"/>
    <w:rsid w:val="00485D86"/>
    <w:rsid w:val="00755805"/>
    <w:rsid w:val="0092349C"/>
    <w:rsid w:val="009761FA"/>
    <w:rsid w:val="00982FFE"/>
    <w:rsid w:val="00994AD8"/>
    <w:rsid w:val="00AD4EED"/>
    <w:rsid w:val="00BB24C1"/>
    <w:rsid w:val="00D95BFE"/>
    <w:rsid w:val="00F632FC"/>
    <w:rsid w:val="00F639E7"/>
    <w:rsid w:val="00FE21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3D6CF"/>
  <w15:chartTrackingRefBased/>
  <w15:docId w15:val="{215702C0-FE47-EC42-A4D8-3E323F798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994AD8"/>
    <w:pPr>
      <w:spacing w:before="100" w:beforeAutospacing="1" w:after="100" w:afterAutospacing="1"/>
    </w:pPr>
    <w:rPr>
      <w:rFonts w:ascii="Times New Roman" w:eastAsia="Times New Roman" w:hAnsi="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495605">
      <w:bodyDiv w:val="1"/>
      <w:marLeft w:val="0"/>
      <w:marRight w:val="0"/>
      <w:marTop w:val="0"/>
      <w:marBottom w:val="0"/>
      <w:divBdr>
        <w:top w:val="none" w:sz="0" w:space="0" w:color="auto"/>
        <w:left w:val="none" w:sz="0" w:space="0" w:color="auto"/>
        <w:bottom w:val="none" w:sz="0" w:space="0" w:color="auto"/>
        <w:right w:val="none" w:sz="0" w:space="0" w:color="auto"/>
      </w:divBdr>
      <w:divsChild>
        <w:div w:id="597909591">
          <w:marLeft w:val="0"/>
          <w:marRight w:val="0"/>
          <w:marTop w:val="0"/>
          <w:marBottom w:val="0"/>
          <w:divBdr>
            <w:top w:val="none" w:sz="0" w:space="0" w:color="auto"/>
            <w:left w:val="none" w:sz="0" w:space="0" w:color="auto"/>
            <w:bottom w:val="none" w:sz="0" w:space="0" w:color="auto"/>
            <w:right w:val="none" w:sz="0" w:space="0" w:color="auto"/>
          </w:divBdr>
          <w:divsChild>
            <w:div w:id="239217705">
              <w:marLeft w:val="0"/>
              <w:marRight w:val="0"/>
              <w:marTop w:val="0"/>
              <w:marBottom w:val="0"/>
              <w:divBdr>
                <w:top w:val="none" w:sz="0" w:space="0" w:color="auto"/>
                <w:left w:val="none" w:sz="0" w:space="0" w:color="auto"/>
                <w:bottom w:val="none" w:sz="0" w:space="0" w:color="auto"/>
                <w:right w:val="none" w:sz="0" w:space="0" w:color="auto"/>
              </w:divBdr>
              <w:divsChild>
                <w:div w:id="66350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788473">
      <w:bodyDiv w:val="1"/>
      <w:marLeft w:val="0"/>
      <w:marRight w:val="0"/>
      <w:marTop w:val="0"/>
      <w:marBottom w:val="0"/>
      <w:divBdr>
        <w:top w:val="none" w:sz="0" w:space="0" w:color="auto"/>
        <w:left w:val="none" w:sz="0" w:space="0" w:color="auto"/>
        <w:bottom w:val="none" w:sz="0" w:space="0" w:color="auto"/>
        <w:right w:val="none" w:sz="0" w:space="0" w:color="auto"/>
      </w:divBdr>
      <w:divsChild>
        <w:div w:id="1174492623">
          <w:marLeft w:val="0"/>
          <w:marRight w:val="0"/>
          <w:marTop w:val="0"/>
          <w:marBottom w:val="0"/>
          <w:divBdr>
            <w:top w:val="none" w:sz="0" w:space="0" w:color="auto"/>
            <w:left w:val="none" w:sz="0" w:space="0" w:color="auto"/>
            <w:bottom w:val="none" w:sz="0" w:space="0" w:color="auto"/>
            <w:right w:val="none" w:sz="0" w:space="0" w:color="auto"/>
          </w:divBdr>
          <w:divsChild>
            <w:div w:id="472910317">
              <w:marLeft w:val="0"/>
              <w:marRight w:val="0"/>
              <w:marTop w:val="0"/>
              <w:marBottom w:val="0"/>
              <w:divBdr>
                <w:top w:val="none" w:sz="0" w:space="0" w:color="auto"/>
                <w:left w:val="none" w:sz="0" w:space="0" w:color="auto"/>
                <w:bottom w:val="none" w:sz="0" w:space="0" w:color="auto"/>
                <w:right w:val="none" w:sz="0" w:space="0" w:color="auto"/>
              </w:divBdr>
              <w:divsChild>
                <w:div w:id="1831602564">
                  <w:marLeft w:val="0"/>
                  <w:marRight w:val="0"/>
                  <w:marTop w:val="0"/>
                  <w:marBottom w:val="0"/>
                  <w:divBdr>
                    <w:top w:val="none" w:sz="0" w:space="0" w:color="auto"/>
                    <w:left w:val="none" w:sz="0" w:space="0" w:color="auto"/>
                    <w:bottom w:val="none" w:sz="0" w:space="0" w:color="auto"/>
                    <w:right w:val="none" w:sz="0" w:space="0" w:color="auto"/>
                  </w:divBdr>
                  <w:divsChild>
                    <w:div w:id="179683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810364">
      <w:bodyDiv w:val="1"/>
      <w:marLeft w:val="0"/>
      <w:marRight w:val="0"/>
      <w:marTop w:val="0"/>
      <w:marBottom w:val="0"/>
      <w:divBdr>
        <w:top w:val="none" w:sz="0" w:space="0" w:color="auto"/>
        <w:left w:val="none" w:sz="0" w:space="0" w:color="auto"/>
        <w:bottom w:val="none" w:sz="0" w:space="0" w:color="auto"/>
        <w:right w:val="none" w:sz="0" w:space="0" w:color="auto"/>
      </w:divBdr>
      <w:divsChild>
        <w:div w:id="1932201628">
          <w:marLeft w:val="0"/>
          <w:marRight w:val="0"/>
          <w:marTop w:val="0"/>
          <w:marBottom w:val="0"/>
          <w:divBdr>
            <w:top w:val="none" w:sz="0" w:space="0" w:color="auto"/>
            <w:left w:val="none" w:sz="0" w:space="0" w:color="auto"/>
            <w:bottom w:val="none" w:sz="0" w:space="0" w:color="auto"/>
            <w:right w:val="none" w:sz="0" w:space="0" w:color="auto"/>
          </w:divBdr>
          <w:divsChild>
            <w:div w:id="438570782">
              <w:marLeft w:val="0"/>
              <w:marRight w:val="0"/>
              <w:marTop w:val="0"/>
              <w:marBottom w:val="0"/>
              <w:divBdr>
                <w:top w:val="none" w:sz="0" w:space="0" w:color="auto"/>
                <w:left w:val="none" w:sz="0" w:space="0" w:color="auto"/>
                <w:bottom w:val="none" w:sz="0" w:space="0" w:color="auto"/>
                <w:right w:val="none" w:sz="0" w:space="0" w:color="auto"/>
              </w:divBdr>
              <w:divsChild>
                <w:div w:id="255478283">
                  <w:marLeft w:val="0"/>
                  <w:marRight w:val="0"/>
                  <w:marTop w:val="0"/>
                  <w:marBottom w:val="0"/>
                  <w:divBdr>
                    <w:top w:val="none" w:sz="0" w:space="0" w:color="auto"/>
                    <w:left w:val="none" w:sz="0" w:space="0" w:color="auto"/>
                    <w:bottom w:val="none" w:sz="0" w:space="0" w:color="auto"/>
                    <w:right w:val="none" w:sz="0" w:space="0" w:color="auto"/>
                  </w:divBdr>
                  <w:divsChild>
                    <w:div w:id="25070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122938">
      <w:bodyDiv w:val="1"/>
      <w:marLeft w:val="0"/>
      <w:marRight w:val="0"/>
      <w:marTop w:val="0"/>
      <w:marBottom w:val="0"/>
      <w:divBdr>
        <w:top w:val="none" w:sz="0" w:space="0" w:color="auto"/>
        <w:left w:val="none" w:sz="0" w:space="0" w:color="auto"/>
        <w:bottom w:val="none" w:sz="0" w:space="0" w:color="auto"/>
        <w:right w:val="none" w:sz="0" w:space="0" w:color="auto"/>
      </w:divBdr>
      <w:divsChild>
        <w:div w:id="180167193">
          <w:marLeft w:val="0"/>
          <w:marRight w:val="0"/>
          <w:marTop w:val="0"/>
          <w:marBottom w:val="0"/>
          <w:divBdr>
            <w:top w:val="none" w:sz="0" w:space="0" w:color="auto"/>
            <w:left w:val="none" w:sz="0" w:space="0" w:color="auto"/>
            <w:bottom w:val="none" w:sz="0" w:space="0" w:color="auto"/>
            <w:right w:val="none" w:sz="0" w:space="0" w:color="auto"/>
          </w:divBdr>
          <w:divsChild>
            <w:div w:id="1697998979">
              <w:marLeft w:val="0"/>
              <w:marRight w:val="0"/>
              <w:marTop w:val="0"/>
              <w:marBottom w:val="0"/>
              <w:divBdr>
                <w:top w:val="none" w:sz="0" w:space="0" w:color="auto"/>
                <w:left w:val="none" w:sz="0" w:space="0" w:color="auto"/>
                <w:bottom w:val="none" w:sz="0" w:space="0" w:color="auto"/>
                <w:right w:val="none" w:sz="0" w:space="0" w:color="auto"/>
              </w:divBdr>
              <w:divsChild>
                <w:div w:id="1985229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792724">
      <w:bodyDiv w:val="1"/>
      <w:marLeft w:val="0"/>
      <w:marRight w:val="0"/>
      <w:marTop w:val="0"/>
      <w:marBottom w:val="0"/>
      <w:divBdr>
        <w:top w:val="none" w:sz="0" w:space="0" w:color="auto"/>
        <w:left w:val="none" w:sz="0" w:space="0" w:color="auto"/>
        <w:bottom w:val="none" w:sz="0" w:space="0" w:color="auto"/>
        <w:right w:val="none" w:sz="0" w:space="0" w:color="auto"/>
      </w:divBdr>
      <w:divsChild>
        <w:div w:id="973219945">
          <w:marLeft w:val="0"/>
          <w:marRight w:val="0"/>
          <w:marTop w:val="0"/>
          <w:marBottom w:val="0"/>
          <w:divBdr>
            <w:top w:val="none" w:sz="0" w:space="0" w:color="auto"/>
            <w:left w:val="none" w:sz="0" w:space="0" w:color="auto"/>
            <w:bottom w:val="none" w:sz="0" w:space="0" w:color="auto"/>
            <w:right w:val="none" w:sz="0" w:space="0" w:color="auto"/>
          </w:divBdr>
          <w:divsChild>
            <w:div w:id="1478492365">
              <w:marLeft w:val="0"/>
              <w:marRight w:val="0"/>
              <w:marTop w:val="0"/>
              <w:marBottom w:val="0"/>
              <w:divBdr>
                <w:top w:val="none" w:sz="0" w:space="0" w:color="auto"/>
                <w:left w:val="none" w:sz="0" w:space="0" w:color="auto"/>
                <w:bottom w:val="none" w:sz="0" w:space="0" w:color="auto"/>
                <w:right w:val="none" w:sz="0" w:space="0" w:color="auto"/>
              </w:divBdr>
              <w:divsChild>
                <w:div w:id="64107269">
                  <w:marLeft w:val="0"/>
                  <w:marRight w:val="0"/>
                  <w:marTop w:val="0"/>
                  <w:marBottom w:val="0"/>
                  <w:divBdr>
                    <w:top w:val="none" w:sz="0" w:space="0" w:color="auto"/>
                    <w:left w:val="none" w:sz="0" w:space="0" w:color="auto"/>
                    <w:bottom w:val="none" w:sz="0" w:space="0" w:color="auto"/>
                    <w:right w:val="none" w:sz="0" w:space="0" w:color="auto"/>
                  </w:divBdr>
                  <w:divsChild>
                    <w:div w:id="146770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2291594">
      <w:bodyDiv w:val="1"/>
      <w:marLeft w:val="0"/>
      <w:marRight w:val="0"/>
      <w:marTop w:val="0"/>
      <w:marBottom w:val="0"/>
      <w:divBdr>
        <w:top w:val="none" w:sz="0" w:space="0" w:color="auto"/>
        <w:left w:val="none" w:sz="0" w:space="0" w:color="auto"/>
        <w:bottom w:val="none" w:sz="0" w:space="0" w:color="auto"/>
        <w:right w:val="none" w:sz="0" w:space="0" w:color="auto"/>
      </w:divBdr>
      <w:divsChild>
        <w:div w:id="390931725">
          <w:marLeft w:val="0"/>
          <w:marRight w:val="0"/>
          <w:marTop w:val="0"/>
          <w:marBottom w:val="0"/>
          <w:divBdr>
            <w:top w:val="none" w:sz="0" w:space="0" w:color="auto"/>
            <w:left w:val="none" w:sz="0" w:space="0" w:color="auto"/>
            <w:bottom w:val="none" w:sz="0" w:space="0" w:color="auto"/>
            <w:right w:val="none" w:sz="0" w:space="0" w:color="auto"/>
          </w:divBdr>
          <w:divsChild>
            <w:div w:id="493181782">
              <w:marLeft w:val="0"/>
              <w:marRight w:val="0"/>
              <w:marTop w:val="0"/>
              <w:marBottom w:val="0"/>
              <w:divBdr>
                <w:top w:val="none" w:sz="0" w:space="0" w:color="auto"/>
                <w:left w:val="none" w:sz="0" w:space="0" w:color="auto"/>
                <w:bottom w:val="none" w:sz="0" w:space="0" w:color="auto"/>
                <w:right w:val="none" w:sz="0" w:space="0" w:color="auto"/>
              </w:divBdr>
              <w:divsChild>
                <w:div w:id="682977668">
                  <w:marLeft w:val="0"/>
                  <w:marRight w:val="0"/>
                  <w:marTop w:val="0"/>
                  <w:marBottom w:val="0"/>
                  <w:divBdr>
                    <w:top w:val="none" w:sz="0" w:space="0" w:color="auto"/>
                    <w:left w:val="none" w:sz="0" w:space="0" w:color="auto"/>
                    <w:bottom w:val="none" w:sz="0" w:space="0" w:color="auto"/>
                    <w:right w:val="none" w:sz="0" w:space="0" w:color="auto"/>
                  </w:divBdr>
                  <w:divsChild>
                    <w:div w:id="16222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1777</Words>
  <Characters>10486</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oravski</dc:creator>
  <cp:keywords/>
  <dc:description/>
  <cp:lastModifiedBy>petr oravski</cp:lastModifiedBy>
  <cp:revision>4</cp:revision>
  <cp:lastPrinted>2019-09-24T09:07:00Z</cp:lastPrinted>
  <dcterms:created xsi:type="dcterms:W3CDTF">2019-09-24T17:36:00Z</dcterms:created>
  <dcterms:modified xsi:type="dcterms:W3CDTF">2019-09-24T18:01:00Z</dcterms:modified>
</cp:coreProperties>
</file>