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AD8" w:rsidRDefault="00994AD8" w:rsidP="00994AD8">
      <w:pPr>
        <w:pStyle w:val="Normlnweb"/>
        <w:jc w:val="center"/>
        <w:rPr>
          <w:rFonts w:ascii="Calibri" w:hAnsi="Calibri" w:cs="Calibri"/>
          <w:b/>
          <w:bCs/>
          <w:sz w:val="20"/>
          <w:szCs w:val="20"/>
        </w:rPr>
      </w:pPr>
      <w:r>
        <w:rPr>
          <w:rFonts w:ascii="Calibri" w:hAnsi="Calibri" w:cs="Calibri"/>
          <w:b/>
          <w:bCs/>
          <w:sz w:val="20"/>
          <w:szCs w:val="20"/>
        </w:rPr>
        <w:t xml:space="preserve">FINECARE </w:t>
      </w:r>
      <w:r w:rsidR="005413B5">
        <w:rPr>
          <w:rFonts w:ascii="Calibri" w:hAnsi="Calibri" w:cs="Calibri"/>
          <w:b/>
          <w:bCs/>
          <w:sz w:val="20"/>
          <w:szCs w:val="20"/>
        </w:rPr>
        <w:t>PSA</w:t>
      </w:r>
      <w:r>
        <w:rPr>
          <w:rFonts w:ascii="Calibri" w:hAnsi="Calibri" w:cs="Calibri"/>
          <w:b/>
          <w:bCs/>
          <w:sz w:val="20"/>
          <w:szCs w:val="20"/>
        </w:rPr>
        <w:t xml:space="preserve"> (</w:t>
      </w:r>
      <w:r w:rsidR="005413B5">
        <w:rPr>
          <w:rFonts w:ascii="Calibri" w:hAnsi="Calibri" w:cs="Calibri"/>
          <w:b/>
          <w:bCs/>
          <w:sz w:val="20"/>
          <w:szCs w:val="20"/>
        </w:rPr>
        <w:t>PSA</w:t>
      </w:r>
      <w:r>
        <w:rPr>
          <w:rFonts w:ascii="Calibri" w:hAnsi="Calibri" w:cs="Calibri"/>
          <w:b/>
          <w:bCs/>
          <w:sz w:val="20"/>
          <w:szCs w:val="20"/>
        </w:rPr>
        <w:t xml:space="preserve"> RAPID QUANTITATIVE TEST</w:t>
      </w:r>
      <w:r w:rsidR="00485D86">
        <w:rPr>
          <w:rFonts w:ascii="Calibri" w:hAnsi="Calibri" w:cs="Calibri"/>
          <w:b/>
          <w:bCs/>
          <w:sz w:val="20"/>
          <w:szCs w:val="20"/>
        </w:rPr>
        <w:t>)</w:t>
      </w:r>
    </w:p>
    <w:p w:rsidR="00994AD8" w:rsidRDefault="00994AD8" w:rsidP="00994AD8">
      <w:pPr>
        <w:pStyle w:val="Normlnweb"/>
        <w:jc w:val="center"/>
        <w:rPr>
          <w:rFonts w:ascii="Calibri" w:hAnsi="Calibri" w:cs="Calibri"/>
          <w:b/>
          <w:bCs/>
          <w:sz w:val="20"/>
          <w:szCs w:val="20"/>
        </w:rPr>
      </w:pPr>
      <w:proofErr w:type="spellStart"/>
      <w:r>
        <w:rPr>
          <w:rFonts w:ascii="Calibri" w:hAnsi="Calibri" w:cs="Calibri"/>
          <w:b/>
          <w:bCs/>
          <w:sz w:val="20"/>
          <w:szCs w:val="20"/>
        </w:rPr>
        <w:t>Finecare</w:t>
      </w:r>
      <w:proofErr w:type="spellEnd"/>
      <w:r>
        <w:rPr>
          <w:rFonts w:ascii="Calibri" w:hAnsi="Calibri" w:cs="Calibri"/>
          <w:b/>
          <w:bCs/>
          <w:sz w:val="20"/>
          <w:szCs w:val="20"/>
        </w:rPr>
        <w:t xml:space="preserve"> </w:t>
      </w:r>
      <w:r w:rsidR="005413B5">
        <w:rPr>
          <w:rFonts w:ascii="Calibri" w:hAnsi="Calibri" w:cs="Calibri"/>
          <w:b/>
          <w:bCs/>
          <w:sz w:val="20"/>
          <w:szCs w:val="20"/>
        </w:rPr>
        <w:t>PSA</w:t>
      </w:r>
      <w:r>
        <w:rPr>
          <w:rFonts w:ascii="Calibri" w:hAnsi="Calibri" w:cs="Calibri"/>
          <w:b/>
          <w:bCs/>
          <w:sz w:val="20"/>
          <w:szCs w:val="20"/>
        </w:rPr>
        <w:t xml:space="preserve"> </w:t>
      </w:r>
      <w:proofErr w:type="spellStart"/>
      <w:r>
        <w:rPr>
          <w:rFonts w:ascii="Calibri" w:hAnsi="Calibri" w:cs="Calibri"/>
          <w:b/>
          <w:bCs/>
          <w:sz w:val="20"/>
          <w:szCs w:val="20"/>
        </w:rPr>
        <w:t>rychly</w:t>
      </w:r>
      <w:proofErr w:type="spellEnd"/>
      <w:r>
        <w:rPr>
          <w:rFonts w:ascii="Calibri" w:hAnsi="Calibri" w:cs="Calibri"/>
          <w:b/>
          <w:bCs/>
          <w:sz w:val="20"/>
          <w:szCs w:val="20"/>
        </w:rPr>
        <w:t xml:space="preserve">́ </w:t>
      </w:r>
      <w:proofErr w:type="spellStart"/>
      <w:r>
        <w:rPr>
          <w:rFonts w:ascii="Calibri" w:hAnsi="Calibri" w:cs="Calibri"/>
          <w:b/>
          <w:bCs/>
          <w:sz w:val="20"/>
          <w:szCs w:val="20"/>
        </w:rPr>
        <w:t>kvantitativni</w:t>
      </w:r>
      <w:proofErr w:type="spellEnd"/>
      <w:r>
        <w:rPr>
          <w:rFonts w:ascii="Calibri" w:hAnsi="Calibri" w:cs="Calibri"/>
          <w:b/>
          <w:bCs/>
          <w:sz w:val="20"/>
          <w:szCs w:val="20"/>
        </w:rPr>
        <w:t>́ test</w:t>
      </w:r>
    </w:p>
    <w:p w:rsidR="00994AD8" w:rsidRDefault="00994AD8" w:rsidP="00994AD8">
      <w:pPr>
        <w:pStyle w:val="Normlnweb"/>
        <w:rPr>
          <w:rFonts w:ascii="Calibri" w:hAnsi="Calibri" w:cs="Calibri"/>
          <w:b/>
          <w:bCs/>
          <w:sz w:val="20"/>
          <w:szCs w:val="20"/>
        </w:rPr>
      </w:pPr>
      <w:r>
        <w:rPr>
          <w:rFonts w:ascii="Calibri" w:hAnsi="Calibri" w:cs="Calibri"/>
          <w:b/>
          <w:bCs/>
          <w:sz w:val="20"/>
          <w:szCs w:val="20"/>
        </w:rPr>
        <w:t>Použití</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 xml:space="preserve">Rychlý kvantitativní test </w:t>
      </w:r>
      <w:proofErr w:type="spellStart"/>
      <w:r w:rsidRPr="005413B5">
        <w:rPr>
          <w:rFonts w:ascii="Calibri" w:hAnsi="Calibri" w:cs="Calibri"/>
          <w:sz w:val="20"/>
          <w:szCs w:val="20"/>
        </w:rPr>
        <w:t>Finecare</w:t>
      </w:r>
      <w:proofErr w:type="spellEnd"/>
      <w:r w:rsidRPr="005413B5">
        <w:rPr>
          <w:rFonts w:ascii="Calibri" w:hAnsi="Calibri" w:cs="Calibri"/>
          <w:sz w:val="20"/>
          <w:szCs w:val="20"/>
        </w:rPr>
        <w:t xml:space="preserve"> ™ PSA (prostatický specifický antigen) spolu s</w:t>
      </w:r>
      <w:r>
        <w:rPr>
          <w:rFonts w:ascii="Calibri" w:hAnsi="Calibri" w:cs="Calibri"/>
          <w:sz w:val="20"/>
          <w:szCs w:val="20"/>
        </w:rPr>
        <w:t>e zařízením</w:t>
      </w:r>
      <w:r w:rsidRPr="005413B5">
        <w:rPr>
          <w:rFonts w:ascii="Calibri" w:hAnsi="Calibri" w:cs="Calibri"/>
          <w:sz w:val="20"/>
          <w:szCs w:val="20"/>
        </w:rPr>
        <w:t xml:space="preserve"> </w:t>
      </w:r>
      <w:proofErr w:type="spellStart"/>
      <w:r w:rsidRPr="005413B5">
        <w:rPr>
          <w:rFonts w:ascii="Calibri" w:hAnsi="Calibri" w:cs="Calibri"/>
          <w:sz w:val="20"/>
          <w:szCs w:val="20"/>
        </w:rPr>
        <w:t>Finecare</w:t>
      </w:r>
      <w:proofErr w:type="spellEnd"/>
      <w:r w:rsidRPr="005413B5">
        <w:rPr>
          <w:rFonts w:ascii="Calibri" w:hAnsi="Calibri" w:cs="Calibri"/>
          <w:sz w:val="20"/>
          <w:szCs w:val="20"/>
        </w:rPr>
        <w:t xml:space="preserve"> ™ FIA je určen pro kvantitativní stanovení specifického antigenu prostaty (PSA) v lidském séru in vitro.</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 xml:space="preserve">-Fluorescenční </w:t>
      </w:r>
      <w:proofErr w:type="spellStart"/>
      <w:r w:rsidRPr="005413B5">
        <w:rPr>
          <w:rFonts w:ascii="Calibri" w:hAnsi="Calibri" w:cs="Calibri"/>
          <w:sz w:val="20"/>
          <w:szCs w:val="20"/>
        </w:rPr>
        <w:t>imunotest</w:t>
      </w:r>
      <w:proofErr w:type="spellEnd"/>
    </w:p>
    <w:p w:rsidR="005413B5" w:rsidRDefault="005413B5" w:rsidP="005413B5">
      <w:pPr>
        <w:pStyle w:val="Normlnweb"/>
        <w:rPr>
          <w:rFonts w:ascii="Calibri" w:hAnsi="Calibri" w:cs="Calibri"/>
          <w:sz w:val="20"/>
          <w:szCs w:val="20"/>
        </w:rPr>
      </w:pPr>
      <w:r w:rsidRPr="005413B5">
        <w:rPr>
          <w:rFonts w:ascii="Calibri" w:hAnsi="Calibri" w:cs="Calibri"/>
          <w:sz w:val="20"/>
          <w:szCs w:val="20"/>
        </w:rPr>
        <w:t>-Diagnostika rakoviny prostaty</w:t>
      </w:r>
    </w:p>
    <w:p w:rsidR="00994AD8" w:rsidRDefault="00994AD8" w:rsidP="005413B5">
      <w:pPr>
        <w:pStyle w:val="Normlnweb"/>
        <w:rPr>
          <w:rFonts w:ascii="Calibri" w:hAnsi="Calibri" w:cs="Calibri"/>
          <w:sz w:val="20"/>
          <w:szCs w:val="20"/>
        </w:rPr>
      </w:pPr>
      <w:r w:rsidRPr="00994AD8">
        <w:rPr>
          <w:rFonts w:ascii="Calibri" w:hAnsi="Calibri" w:cs="Calibri"/>
          <w:sz w:val="20"/>
          <w:szCs w:val="20"/>
        </w:rPr>
        <w:t>Pouze pro diagnostické použití in vitro. Pouze pro profesionální použití.</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Souhrn</w:t>
      </w:r>
    </w:p>
    <w:p w:rsidR="005413B5" w:rsidRDefault="005413B5" w:rsidP="00994AD8">
      <w:pPr>
        <w:pStyle w:val="Normlnweb"/>
        <w:rPr>
          <w:rFonts w:ascii="Calibri" w:hAnsi="Calibri" w:cs="Calibri"/>
          <w:sz w:val="20"/>
          <w:szCs w:val="20"/>
        </w:rPr>
      </w:pPr>
      <w:r w:rsidRPr="005413B5">
        <w:rPr>
          <w:rFonts w:ascii="Calibri" w:hAnsi="Calibri" w:cs="Calibri"/>
          <w:sz w:val="20"/>
          <w:szCs w:val="20"/>
        </w:rPr>
        <w:t xml:space="preserve">Lidský prostatický specifický antigen (PSA) je serinová proteáza, </w:t>
      </w:r>
      <w:proofErr w:type="spellStart"/>
      <w:r w:rsidRPr="005413B5">
        <w:rPr>
          <w:rFonts w:ascii="Calibri" w:hAnsi="Calibri" w:cs="Calibri"/>
          <w:sz w:val="20"/>
          <w:szCs w:val="20"/>
        </w:rPr>
        <w:t>jednořetězcový</w:t>
      </w:r>
      <w:proofErr w:type="spellEnd"/>
      <w:r w:rsidRPr="005413B5">
        <w:rPr>
          <w:rFonts w:ascii="Calibri" w:hAnsi="Calibri" w:cs="Calibri"/>
          <w:sz w:val="20"/>
          <w:szCs w:val="20"/>
        </w:rPr>
        <w:t xml:space="preserve"> glykoprotein s molekulovou hmotností přibližně 34 000 </w:t>
      </w:r>
      <w:proofErr w:type="spellStart"/>
      <w:r w:rsidRPr="005413B5">
        <w:rPr>
          <w:rFonts w:ascii="Calibri" w:hAnsi="Calibri" w:cs="Calibri"/>
          <w:sz w:val="20"/>
          <w:szCs w:val="20"/>
        </w:rPr>
        <w:t>daltonů</w:t>
      </w:r>
      <w:proofErr w:type="spellEnd"/>
      <w:r w:rsidRPr="005413B5">
        <w:rPr>
          <w:rFonts w:ascii="Calibri" w:hAnsi="Calibri" w:cs="Calibri"/>
          <w:sz w:val="20"/>
          <w:szCs w:val="20"/>
        </w:rPr>
        <w:t xml:space="preserve">, obsahující 7% hmotnostních uhlohydrátů. PSA je imunologicky specifický pro prostatickou tkáň. Zvýšené koncentrace PSA v séru byly hlášeny u pacientů s karcinomem prostaty, benigní hypertrofií prostaty nebo zánětlivými stavy jiných sousedních </w:t>
      </w:r>
      <w:proofErr w:type="spellStart"/>
      <w:r w:rsidRPr="005413B5">
        <w:rPr>
          <w:rFonts w:ascii="Calibri" w:hAnsi="Calibri" w:cs="Calibri"/>
          <w:sz w:val="20"/>
          <w:szCs w:val="20"/>
        </w:rPr>
        <w:t>genitourinárních</w:t>
      </w:r>
      <w:proofErr w:type="spellEnd"/>
      <w:r w:rsidRPr="005413B5">
        <w:rPr>
          <w:rFonts w:ascii="Calibri" w:hAnsi="Calibri" w:cs="Calibri"/>
          <w:sz w:val="20"/>
          <w:szCs w:val="20"/>
        </w:rPr>
        <w:t xml:space="preserve"> tkání, ale nikoli u zjevně zdravých mužů, mužů s</w:t>
      </w:r>
      <w:r>
        <w:rPr>
          <w:rFonts w:ascii="Calibri" w:hAnsi="Calibri" w:cs="Calibri"/>
          <w:sz w:val="20"/>
          <w:szCs w:val="20"/>
        </w:rPr>
        <w:t> non-prostatickým karcinomem</w:t>
      </w:r>
      <w:r w:rsidRPr="005413B5">
        <w:rPr>
          <w:rFonts w:ascii="Calibri" w:hAnsi="Calibri" w:cs="Calibri"/>
          <w:sz w:val="20"/>
          <w:szCs w:val="20"/>
        </w:rPr>
        <w:t>, zjevně zdravých žen nebo žen s rakovinou. Proto může být měření koncentrace PSA v séru důležitým nástrojem pro sledování pacientů s rakovinou prostaty a pro stanovení potenciálu a skutečné účinnosti chirurgického zákroku nebo jiných terapií.</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 xml:space="preserve">Normální referenční hodnoty: &lt;4ng / </w:t>
      </w:r>
      <w:proofErr w:type="spellStart"/>
      <w:r w:rsidRPr="005413B5">
        <w:rPr>
          <w:rFonts w:ascii="Calibri" w:hAnsi="Calibri" w:cs="Calibri"/>
          <w:sz w:val="20"/>
          <w:szCs w:val="20"/>
        </w:rPr>
        <w:t>mL</w:t>
      </w:r>
      <w:proofErr w:type="spellEnd"/>
    </w:p>
    <w:p w:rsidR="005413B5" w:rsidRDefault="005413B5" w:rsidP="005413B5">
      <w:pPr>
        <w:pStyle w:val="Normlnweb"/>
        <w:rPr>
          <w:rFonts w:ascii="Calibri" w:hAnsi="Calibri" w:cs="Calibri"/>
          <w:sz w:val="20"/>
          <w:szCs w:val="20"/>
        </w:rPr>
      </w:pPr>
      <w:r w:rsidRPr="005413B5">
        <w:rPr>
          <w:rFonts w:ascii="Calibri" w:hAnsi="Calibri" w:cs="Calibri"/>
          <w:sz w:val="20"/>
          <w:szCs w:val="20"/>
        </w:rPr>
        <w:t>Upozornění: Pro každou laboratoř se navrhuje stanovit individuální referenční rozmezí.</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Princip</w:t>
      </w:r>
    </w:p>
    <w:p w:rsidR="005413B5" w:rsidRDefault="005413B5" w:rsidP="00994AD8">
      <w:pPr>
        <w:pStyle w:val="Normlnweb"/>
        <w:rPr>
          <w:rFonts w:ascii="Calibri" w:hAnsi="Calibri" w:cs="Calibri"/>
          <w:sz w:val="20"/>
          <w:szCs w:val="20"/>
        </w:rPr>
      </w:pPr>
      <w:r w:rsidRPr="005413B5">
        <w:rPr>
          <w:rFonts w:ascii="Calibri" w:hAnsi="Calibri" w:cs="Calibri"/>
          <w:sz w:val="20"/>
          <w:szCs w:val="20"/>
        </w:rPr>
        <w:t xml:space="preserve">Rychlý kvantitativní test </w:t>
      </w:r>
      <w:proofErr w:type="spellStart"/>
      <w:r w:rsidRPr="005413B5">
        <w:rPr>
          <w:rFonts w:ascii="Calibri" w:hAnsi="Calibri" w:cs="Calibri"/>
          <w:sz w:val="20"/>
          <w:szCs w:val="20"/>
        </w:rPr>
        <w:t>Finecare</w:t>
      </w:r>
      <w:proofErr w:type="spellEnd"/>
      <w:r w:rsidRPr="005413B5">
        <w:rPr>
          <w:rFonts w:ascii="Calibri" w:hAnsi="Calibri" w:cs="Calibri"/>
          <w:sz w:val="20"/>
          <w:szCs w:val="20"/>
        </w:rPr>
        <w:t xml:space="preserve"> ™ PSA je založen na technologii fluorescenční </w:t>
      </w:r>
      <w:proofErr w:type="spellStart"/>
      <w:r w:rsidRPr="005413B5">
        <w:rPr>
          <w:rFonts w:ascii="Calibri" w:hAnsi="Calibri" w:cs="Calibri"/>
          <w:sz w:val="20"/>
          <w:szCs w:val="20"/>
        </w:rPr>
        <w:t>imunoanalýzy</w:t>
      </w:r>
      <w:proofErr w:type="spellEnd"/>
      <w:r w:rsidRPr="005413B5">
        <w:rPr>
          <w:rFonts w:ascii="Calibri" w:hAnsi="Calibri" w:cs="Calibri"/>
          <w:sz w:val="20"/>
          <w:szCs w:val="20"/>
        </w:rPr>
        <w:t xml:space="preserve">. Rychlý kvantitativní test </w:t>
      </w:r>
      <w:proofErr w:type="spellStart"/>
      <w:r w:rsidRPr="005413B5">
        <w:rPr>
          <w:rFonts w:ascii="Calibri" w:hAnsi="Calibri" w:cs="Calibri"/>
          <w:sz w:val="20"/>
          <w:szCs w:val="20"/>
        </w:rPr>
        <w:t>Finecare</w:t>
      </w:r>
      <w:proofErr w:type="spellEnd"/>
      <w:r w:rsidRPr="005413B5">
        <w:rPr>
          <w:rFonts w:ascii="Calibri" w:hAnsi="Calibri" w:cs="Calibri"/>
          <w:sz w:val="20"/>
          <w:szCs w:val="20"/>
        </w:rPr>
        <w:t xml:space="preserve"> ™ PSA používá sendvičovou </w:t>
      </w:r>
      <w:proofErr w:type="spellStart"/>
      <w:r w:rsidRPr="005413B5">
        <w:rPr>
          <w:rFonts w:ascii="Calibri" w:hAnsi="Calibri" w:cs="Calibri"/>
          <w:sz w:val="20"/>
          <w:szCs w:val="20"/>
        </w:rPr>
        <w:t>imunodetekční</w:t>
      </w:r>
      <w:proofErr w:type="spellEnd"/>
      <w:r w:rsidRPr="005413B5">
        <w:rPr>
          <w:rFonts w:ascii="Calibri" w:hAnsi="Calibri" w:cs="Calibri"/>
          <w:sz w:val="20"/>
          <w:szCs w:val="20"/>
        </w:rPr>
        <w:t xml:space="preserve"> metodu</w:t>
      </w:r>
      <w:r>
        <w:rPr>
          <w:rFonts w:ascii="Calibri" w:hAnsi="Calibri" w:cs="Calibri"/>
          <w:sz w:val="20"/>
          <w:szCs w:val="20"/>
        </w:rPr>
        <w:t>.</w:t>
      </w:r>
      <w:r w:rsidRPr="005413B5">
        <w:rPr>
          <w:rFonts w:ascii="Calibri" w:hAnsi="Calibri" w:cs="Calibri"/>
          <w:sz w:val="20"/>
          <w:szCs w:val="20"/>
        </w:rPr>
        <w:t xml:space="preserve"> </w:t>
      </w:r>
      <w:r>
        <w:rPr>
          <w:rFonts w:ascii="Calibri" w:hAnsi="Calibri" w:cs="Calibri"/>
          <w:sz w:val="20"/>
          <w:szCs w:val="20"/>
        </w:rPr>
        <w:t>K</w:t>
      </w:r>
      <w:r w:rsidRPr="005413B5">
        <w:rPr>
          <w:rFonts w:ascii="Calibri" w:hAnsi="Calibri" w:cs="Calibri"/>
          <w:sz w:val="20"/>
          <w:szCs w:val="20"/>
        </w:rPr>
        <w:t xml:space="preserve">dyž se vzorek přidá do jamky pro vzorek testovací </w:t>
      </w:r>
      <w:r>
        <w:rPr>
          <w:rFonts w:ascii="Calibri" w:hAnsi="Calibri" w:cs="Calibri"/>
          <w:sz w:val="20"/>
          <w:szCs w:val="20"/>
        </w:rPr>
        <w:t>kazety</w:t>
      </w:r>
      <w:r w:rsidRPr="005413B5">
        <w:rPr>
          <w:rFonts w:ascii="Calibri" w:hAnsi="Calibri" w:cs="Calibri"/>
          <w:sz w:val="20"/>
          <w:szCs w:val="20"/>
        </w:rPr>
        <w:t xml:space="preserve">, fluorescenčně značená detekční PSA protilátka na membráně se váže na PSA antigen ve vzorku krve. Jak směs vzorků migruje na nitrocelulózové matrici testovacího proužku kapilárním působením, komplexy detekční protilátky a PSA jsou zachyceny na PSA protilátku, která byla imobilizována na testovacím proužku. Čím více PSA antigenu je ve vzorku krve, tím více komplexů se hromadí na testovacím proužku. Intenzita signálu fluorescence detekční protilátky odráží množství zachycené PSA a </w:t>
      </w:r>
      <w:proofErr w:type="spellStart"/>
      <w:r w:rsidRPr="005413B5">
        <w:rPr>
          <w:rFonts w:ascii="Calibri" w:hAnsi="Calibri" w:cs="Calibri"/>
          <w:sz w:val="20"/>
          <w:szCs w:val="20"/>
        </w:rPr>
        <w:t>FinecareTM</w:t>
      </w:r>
      <w:proofErr w:type="spellEnd"/>
      <w:r w:rsidRPr="005413B5">
        <w:rPr>
          <w:rFonts w:ascii="Calibri" w:hAnsi="Calibri" w:cs="Calibri"/>
          <w:sz w:val="20"/>
          <w:szCs w:val="20"/>
        </w:rPr>
        <w:t xml:space="preserve"> FIA Meter ukazuje koncentrace PSA ve vzorku krve. Výchozí jednotka výsledků rychlého kvantitativního testu </w:t>
      </w:r>
      <w:proofErr w:type="spellStart"/>
      <w:r w:rsidRPr="005413B5">
        <w:rPr>
          <w:rFonts w:ascii="Calibri" w:hAnsi="Calibri" w:cs="Calibri"/>
          <w:sz w:val="20"/>
          <w:szCs w:val="20"/>
        </w:rPr>
        <w:t>Finecare</w:t>
      </w:r>
      <w:proofErr w:type="spellEnd"/>
      <w:r w:rsidRPr="005413B5">
        <w:rPr>
          <w:rFonts w:ascii="Calibri" w:hAnsi="Calibri" w:cs="Calibri"/>
          <w:sz w:val="20"/>
          <w:szCs w:val="20"/>
        </w:rPr>
        <w:t xml:space="preserve"> ™ PSA je zobrazena jako XXX </w:t>
      </w:r>
      <w:proofErr w:type="spellStart"/>
      <w:r w:rsidRPr="005413B5">
        <w:rPr>
          <w:rFonts w:ascii="Calibri" w:hAnsi="Calibri" w:cs="Calibri"/>
          <w:sz w:val="20"/>
          <w:szCs w:val="20"/>
        </w:rPr>
        <w:t>ng</w:t>
      </w:r>
      <w:proofErr w:type="spellEnd"/>
      <w:r w:rsidRPr="005413B5">
        <w:rPr>
          <w:rFonts w:ascii="Calibri" w:hAnsi="Calibri" w:cs="Calibri"/>
          <w:sz w:val="20"/>
          <w:szCs w:val="20"/>
        </w:rPr>
        <w:t xml:space="preserve"> / ml. Pracovní rozsah a detekční limit testovacího systému PSA jsou 2 ~ 100 </w:t>
      </w:r>
      <w:proofErr w:type="spellStart"/>
      <w:r w:rsidRPr="005413B5">
        <w:rPr>
          <w:rFonts w:ascii="Calibri" w:hAnsi="Calibri" w:cs="Calibri"/>
          <w:sz w:val="20"/>
          <w:szCs w:val="20"/>
        </w:rPr>
        <w:t>ng</w:t>
      </w:r>
      <w:proofErr w:type="spellEnd"/>
      <w:r w:rsidRPr="005413B5">
        <w:rPr>
          <w:rFonts w:ascii="Calibri" w:hAnsi="Calibri" w:cs="Calibri"/>
          <w:sz w:val="20"/>
          <w:szCs w:val="20"/>
        </w:rPr>
        <w:t xml:space="preserve"> / ml a 2ng / ml.</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Upozornění</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1. Tato souprava je určena pouze pro diagnostické použití in vitro.</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2. Nemíchejte komponenty z různých šarží soupravy.</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3. Nepoužívejte testovací soupravu po uplynutí doby použitelnosti.</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 xml:space="preserve">4. Nepoužívejte testovací kazetu, pokud její šarže # neodpovídá ID čipu č., </w:t>
      </w:r>
      <w:r>
        <w:rPr>
          <w:rFonts w:ascii="Calibri" w:hAnsi="Calibri" w:cs="Calibri"/>
          <w:sz w:val="20"/>
          <w:szCs w:val="20"/>
        </w:rPr>
        <w:t>k</w:t>
      </w:r>
      <w:r w:rsidRPr="005413B5">
        <w:rPr>
          <w:rFonts w:ascii="Calibri" w:hAnsi="Calibri" w:cs="Calibri"/>
          <w:sz w:val="20"/>
          <w:szCs w:val="20"/>
        </w:rPr>
        <w:t>terý je</w:t>
      </w:r>
      <w:r>
        <w:rPr>
          <w:rFonts w:ascii="Calibri" w:hAnsi="Calibri" w:cs="Calibri"/>
          <w:sz w:val="20"/>
          <w:szCs w:val="20"/>
        </w:rPr>
        <w:t xml:space="preserve"> </w:t>
      </w:r>
      <w:r w:rsidRPr="005413B5">
        <w:rPr>
          <w:rFonts w:ascii="Calibri" w:hAnsi="Calibri" w:cs="Calibri"/>
          <w:sz w:val="20"/>
          <w:szCs w:val="20"/>
        </w:rPr>
        <w:t>vložen do zařízení.</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 xml:space="preserve">5. Sada </w:t>
      </w:r>
      <w:proofErr w:type="spellStart"/>
      <w:r w:rsidRPr="005413B5">
        <w:rPr>
          <w:rFonts w:ascii="Calibri" w:hAnsi="Calibri" w:cs="Calibri"/>
          <w:sz w:val="20"/>
          <w:szCs w:val="20"/>
        </w:rPr>
        <w:t>FinecareTM</w:t>
      </w:r>
      <w:proofErr w:type="spellEnd"/>
      <w:r w:rsidRPr="005413B5">
        <w:rPr>
          <w:rFonts w:ascii="Calibri" w:hAnsi="Calibri" w:cs="Calibri"/>
          <w:sz w:val="20"/>
          <w:szCs w:val="20"/>
        </w:rPr>
        <w:t xml:space="preserve"> PSA je funkční pouze v</w:t>
      </w:r>
      <w:r>
        <w:rPr>
          <w:rFonts w:ascii="Calibri" w:hAnsi="Calibri" w:cs="Calibri"/>
          <w:sz w:val="20"/>
          <w:szCs w:val="20"/>
        </w:rPr>
        <w:t> </w:t>
      </w:r>
      <w:r w:rsidRPr="005413B5">
        <w:rPr>
          <w:rFonts w:ascii="Calibri" w:hAnsi="Calibri" w:cs="Calibri"/>
          <w:sz w:val="20"/>
          <w:szCs w:val="20"/>
        </w:rPr>
        <w:t>systému</w:t>
      </w:r>
      <w:r>
        <w:rPr>
          <w:rFonts w:ascii="Calibri" w:hAnsi="Calibri" w:cs="Calibri"/>
          <w:sz w:val="20"/>
          <w:szCs w:val="20"/>
        </w:rPr>
        <w:t xml:space="preserve"> </w:t>
      </w:r>
      <w:proofErr w:type="spellStart"/>
      <w:r w:rsidRPr="005413B5">
        <w:rPr>
          <w:rFonts w:ascii="Calibri" w:hAnsi="Calibri" w:cs="Calibri"/>
          <w:sz w:val="20"/>
          <w:szCs w:val="20"/>
        </w:rPr>
        <w:t>FinecareTM</w:t>
      </w:r>
      <w:proofErr w:type="spellEnd"/>
      <w:r w:rsidRPr="005413B5">
        <w:rPr>
          <w:rFonts w:ascii="Calibri" w:hAnsi="Calibri" w:cs="Calibri"/>
          <w:sz w:val="20"/>
          <w:szCs w:val="20"/>
        </w:rPr>
        <w:t xml:space="preserve"> FIA Meter.</w:t>
      </w:r>
    </w:p>
    <w:p w:rsidR="005413B5" w:rsidRDefault="005413B5" w:rsidP="005413B5">
      <w:pPr>
        <w:pStyle w:val="Normlnweb"/>
        <w:rPr>
          <w:rFonts w:ascii="Calibri" w:hAnsi="Calibri" w:cs="Calibri"/>
          <w:sz w:val="20"/>
          <w:szCs w:val="20"/>
        </w:rPr>
      </w:pPr>
      <w:r w:rsidRPr="005413B5">
        <w:rPr>
          <w:rFonts w:ascii="Calibri" w:hAnsi="Calibri" w:cs="Calibri"/>
          <w:sz w:val="20"/>
          <w:szCs w:val="20"/>
        </w:rPr>
        <w:lastRenderedPageBreak/>
        <w:t xml:space="preserve">6. Nepoužívejte testovací kazetu, pokud je </w:t>
      </w:r>
      <w:r>
        <w:rPr>
          <w:rFonts w:ascii="Calibri" w:hAnsi="Calibri" w:cs="Calibri"/>
          <w:sz w:val="20"/>
          <w:szCs w:val="20"/>
        </w:rPr>
        <w:t>sáček</w:t>
      </w:r>
      <w:r w:rsidRPr="005413B5">
        <w:rPr>
          <w:rFonts w:ascii="Calibri" w:hAnsi="Calibri" w:cs="Calibri"/>
          <w:sz w:val="20"/>
          <w:szCs w:val="20"/>
        </w:rPr>
        <w:t xml:space="preserve"> propíchnut nebo není dobře utěsněn. </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7. Zkušební kazeta a měřicí přístroj by měly být používány mimo vibrace a</w:t>
      </w:r>
      <w:r>
        <w:rPr>
          <w:rFonts w:ascii="Calibri" w:hAnsi="Calibri" w:cs="Calibri"/>
          <w:sz w:val="20"/>
          <w:szCs w:val="20"/>
        </w:rPr>
        <w:t xml:space="preserve"> </w:t>
      </w:r>
      <w:r w:rsidRPr="005413B5">
        <w:rPr>
          <w:rFonts w:ascii="Calibri" w:hAnsi="Calibri" w:cs="Calibri"/>
          <w:sz w:val="20"/>
          <w:szCs w:val="20"/>
        </w:rPr>
        <w:t>magnetické pole. Během normálního používání může samotný měřič způsobit vibrace,</w:t>
      </w:r>
      <w:r>
        <w:rPr>
          <w:rFonts w:ascii="Calibri" w:hAnsi="Calibri" w:cs="Calibri"/>
          <w:sz w:val="20"/>
          <w:szCs w:val="20"/>
        </w:rPr>
        <w:t xml:space="preserve"> </w:t>
      </w:r>
      <w:r w:rsidRPr="005413B5">
        <w:rPr>
          <w:rFonts w:ascii="Calibri" w:hAnsi="Calibri" w:cs="Calibri"/>
          <w:sz w:val="20"/>
          <w:szCs w:val="20"/>
        </w:rPr>
        <w:t>což by mělo být považováno za normální.</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 xml:space="preserve">8. Použijte samostatné čisté </w:t>
      </w:r>
      <w:proofErr w:type="spellStart"/>
      <w:r w:rsidRPr="005413B5">
        <w:rPr>
          <w:rFonts w:ascii="Calibri" w:hAnsi="Calibri" w:cs="Calibri"/>
          <w:sz w:val="20"/>
          <w:szCs w:val="20"/>
        </w:rPr>
        <w:t>pipetovací</w:t>
      </w:r>
      <w:proofErr w:type="spellEnd"/>
      <w:r w:rsidRPr="005413B5">
        <w:rPr>
          <w:rFonts w:ascii="Calibri" w:hAnsi="Calibri" w:cs="Calibri"/>
          <w:sz w:val="20"/>
          <w:szCs w:val="20"/>
        </w:rPr>
        <w:t xml:space="preserve"> špičky a </w:t>
      </w:r>
      <w:proofErr w:type="spellStart"/>
      <w:r>
        <w:rPr>
          <w:rFonts w:ascii="Calibri" w:hAnsi="Calibri" w:cs="Calibri"/>
          <w:sz w:val="20"/>
          <w:szCs w:val="20"/>
        </w:rPr>
        <w:t>a</w:t>
      </w:r>
      <w:proofErr w:type="spellEnd"/>
      <w:r>
        <w:rPr>
          <w:rFonts w:ascii="Calibri" w:hAnsi="Calibri" w:cs="Calibri"/>
          <w:sz w:val="20"/>
          <w:szCs w:val="20"/>
        </w:rPr>
        <w:t xml:space="preserve"> další vybavení</w:t>
      </w:r>
      <w:r w:rsidRPr="005413B5">
        <w:rPr>
          <w:rFonts w:ascii="Calibri" w:hAnsi="Calibri" w:cs="Calibri"/>
          <w:sz w:val="20"/>
          <w:szCs w:val="20"/>
        </w:rPr>
        <w:t xml:space="preserve"> pro různé</w:t>
      </w:r>
      <w:r>
        <w:rPr>
          <w:rFonts w:ascii="Calibri" w:hAnsi="Calibri" w:cs="Calibri"/>
          <w:sz w:val="20"/>
          <w:szCs w:val="20"/>
        </w:rPr>
        <w:t xml:space="preserve"> </w:t>
      </w:r>
      <w:r w:rsidRPr="005413B5">
        <w:rPr>
          <w:rFonts w:ascii="Calibri" w:hAnsi="Calibri" w:cs="Calibri"/>
          <w:sz w:val="20"/>
          <w:szCs w:val="20"/>
        </w:rPr>
        <w:t>vzorky.</w:t>
      </w:r>
    </w:p>
    <w:p w:rsidR="005413B5" w:rsidRPr="005413B5" w:rsidRDefault="005413B5" w:rsidP="005413B5">
      <w:pPr>
        <w:pStyle w:val="Normlnweb"/>
        <w:rPr>
          <w:rFonts w:ascii="Calibri" w:hAnsi="Calibri" w:cs="Calibri"/>
          <w:sz w:val="20"/>
          <w:szCs w:val="20"/>
        </w:rPr>
      </w:pPr>
      <w:r w:rsidRPr="005413B5">
        <w:rPr>
          <w:rFonts w:ascii="Calibri" w:hAnsi="Calibri" w:cs="Calibri"/>
          <w:sz w:val="20"/>
          <w:szCs w:val="20"/>
        </w:rPr>
        <w:t xml:space="preserve">9. Vzorky krve, použité testovací </w:t>
      </w:r>
      <w:r>
        <w:rPr>
          <w:rFonts w:ascii="Calibri" w:hAnsi="Calibri" w:cs="Calibri"/>
          <w:sz w:val="20"/>
          <w:szCs w:val="20"/>
        </w:rPr>
        <w:t>kazety</w:t>
      </w:r>
      <w:r w:rsidRPr="005413B5">
        <w:rPr>
          <w:rFonts w:ascii="Calibri" w:hAnsi="Calibri" w:cs="Calibri"/>
          <w:sz w:val="20"/>
          <w:szCs w:val="20"/>
        </w:rPr>
        <w:t xml:space="preserve">, </w:t>
      </w:r>
      <w:proofErr w:type="spellStart"/>
      <w:r w:rsidRPr="005413B5">
        <w:rPr>
          <w:rFonts w:ascii="Calibri" w:hAnsi="Calibri" w:cs="Calibri"/>
          <w:sz w:val="20"/>
          <w:szCs w:val="20"/>
        </w:rPr>
        <w:t>pipetovací</w:t>
      </w:r>
      <w:proofErr w:type="spellEnd"/>
      <w:r w:rsidRPr="005413B5">
        <w:rPr>
          <w:rFonts w:ascii="Calibri" w:hAnsi="Calibri" w:cs="Calibri"/>
          <w:sz w:val="20"/>
          <w:szCs w:val="20"/>
        </w:rPr>
        <w:t xml:space="preserve"> špičky a lahvičky s</w:t>
      </w:r>
      <w:r>
        <w:rPr>
          <w:rFonts w:ascii="Calibri" w:hAnsi="Calibri" w:cs="Calibri"/>
          <w:sz w:val="20"/>
          <w:szCs w:val="20"/>
        </w:rPr>
        <w:t> </w:t>
      </w:r>
      <w:r w:rsidRPr="005413B5">
        <w:rPr>
          <w:rFonts w:ascii="Calibri" w:hAnsi="Calibri" w:cs="Calibri"/>
          <w:sz w:val="20"/>
          <w:szCs w:val="20"/>
        </w:rPr>
        <w:t>pufrem</w:t>
      </w:r>
      <w:r>
        <w:rPr>
          <w:rFonts w:ascii="Calibri" w:hAnsi="Calibri" w:cs="Calibri"/>
          <w:sz w:val="20"/>
          <w:szCs w:val="20"/>
        </w:rPr>
        <w:t xml:space="preserve"> a další použitý materiál </w:t>
      </w:r>
      <w:r w:rsidRPr="005413B5">
        <w:rPr>
          <w:rFonts w:ascii="Calibri" w:hAnsi="Calibri" w:cs="Calibri"/>
          <w:sz w:val="20"/>
          <w:szCs w:val="20"/>
        </w:rPr>
        <w:t>by se měl</w:t>
      </w:r>
      <w:r>
        <w:rPr>
          <w:rFonts w:ascii="Calibri" w:hAnsi="Calibri" w:cs="Calibri"/>
          <w:sz w:val="20"/>
          <w:szCs w:val="20"/>
        </w:rPr>
        <w:t xml:space="preserve"> </w:t>
      </w:r>
      <w:r w:rsidRPr="005413B5">
        <w:rPr>
          <w:rFonts w:ascii="Calibri" w:hAnsi="Calibri" w:cs="Calibri"/>
          <w:sz w:val="20"/>
          <w:szCs w:val="20"/>
        </w:rPr>
        <w:t xml:space="preserve"> likvidovat v souladu se standardními postupy a</w:t>
      </w:r>
      <w:r>
        <w:rPr>
          <w:rFonts w:ascii="Calibri" w:hAnsi="Calibri" w:cs="Calibri"/>
          <w:sz w:val="20"/>
          <w:szCs w:val="20"/>
        </w:rPr>
        <w:t xml:space="preserve"> </w:t>
      </w:r>
      <w:r w:rsidRPr="005413B5">
        <w:rPr>
          <w:rFonts w:ascii="Calibri" w:hAnsi="Calibri" w:cs="Calibri"/>
          <w:sz w:val="20"/>
          <w:szCs w:val="20"/>
        </w:rPr>
        <w:t>příslušn</w:t>
      </w:r>
      <w:r>
        <w:rPr>
          <w:rFonts w:ascii="Calibri" w:hAnsi="Calibri" w:cs="Calibri"/>
          <w:sz w:val="20"/>
          <w:szCs w:val="20"/>
        </w:rPr>
        <w:t>ými</w:t>
      </w:r>
      <w:r w:rsidRPr="005413B5">
        <w:rPr>
          <w:rFonts w:ascii="Calibri" w:hAnsi="Calibri" w:cs="Calibri"/>
          <w:sz w:val="20"/>
          <w:szCs w:val="20"/>
        </w:rPr>
        <w:t xml:space="preserve"> předpisy </w:t>
      </w:r>
      <w:r>
        <w:rPr>
          <w:rFonts w:ascii="Calibri" w:hAnsi="Calibri" w:cs="Calibri"/>
          <w:sz w:val="20"/>
          <w:szCs w:val="20"/>
        </w:rPr>
        <w:t xml:space="preserve">pro práci s </w:t>
      </w:r>
      <w:r w:rsidRPr="005413B5">
        <w:rPr>
          <w:rFonts w:ascii="Calibri" w:hAnsi="Calibri" w:cs="Calibri"/>
          <w:sz w:val="20"/>
          <w:szCs w:val="20"/>
        </w:rPr>
        <w:t xml:space="preserve"> mikrobiologickými nebezpečnými materiály.</w:t>
      </w:r>
    </w:p>
    <w:p w:rsidR="00755805" w:rsidRDefault="005413B5" w:rsidP="005413B5">
      <w:pPr>
        <w:pStyle w:val="Normlnweb"/>
        <w:rPr>
          <w:rFonts w:ascii="Calibri" w:hAnsi="Calibri" w:cs="Calibri"/>
          <w:sz w:val="20"/>
          <w:szCs w:val="20"/>
        </w:rPr>
      </w:pPr>
      <w:r w:rsidRPr="005413B5">
        <w:rPr>
          <w:rFonts w:ascii="Calibri" w:hAnsi="Calibri" w:cs="Calibri"/>
          <w:sz w:val="20"/>
          <w:szCs w:val="20"/>
        </w:rPr>
        <w:t>10. Výsledky by měl interpretovat lékař spolu s klinickými nálezy</w:t>
      </w:r>
      <w:r>
        <w:rPr>
          <w:rFonts w:ascii="Calibri" w:hAnsi="Calibri" w:cs="Calibri"/>
          <w:sz w:val="20"/>
          <w:szCs w:val="20"/>
        </w:rPr>
        <w:t xml:space="preserve"> </w:t>
      </w:r>
      <w:r w:rsidRPr="005413B5">
        <w:rPr>
          <w:rFonts w:ascii="Calibri" w:hAnsi="Calibri" w:cs="Calibri"/>
          <w:sz w:val="20"/>
          <w:szCs w:val="20"/>
        </w:rPr>
        <w:t>a další</w:t>
      </w:r>
      <w:r>
        <w:rPr>
          <w:rFonts w:ascii="Calibri" w:hAnsi="Calibri" w:cs="Calibri"/>
          <w:sz w:val="20"/>
          <w:szCs w:val="20"/>
        </w:rPr>
        <w:t>mi</w:t>
      </w:r>
      <w:r w:rsidRPr="005413B5">
        <w:rPr>
          <w:rFonts w:ascii="Calibri" w:hAnsi="Calibri" w:cs="Calibri"/>
          <w:sz w:val="20"/>
          <w:szCs w:val="20"/>
        </w:rPr>
        <w:t xml:space="preserve"> výsledky laboratorních zkoušek</w:t>
      </w:r>
      <w:r>
        <w:rPr>
          <w:rFonts w:ascii="Calibri" w:hAnsi="Calibri" w:cs="Calibri"/>
          <w:sz w:val="20"/>
          <w:szCs w:val="20"/>
        </w:rPr>
        <w:t xml:space="preserve"> a vyšetření</w:t>
      </w:r>
      <w:r w:rsidRPr="005413B5">
        <w:rPr>
          <w:rFonts w:ascii="Calibri" w:hAnsi="Calibri" w:cs="Calibri"/>
          <w:sz w:val="20"/>
          <w:szCs w:val="20"/>
        </w:rPr>
        <w:t>.</w:t>
      </w:r>
    </w:p>
    <w:p w:rsidR="00755805" w:rsidRPr="00755805" w:rsidRDefault="00755805" w:rsidP="00755805">
      <w:pPr>
        <w:pStyle w:val="Normlnweb"/>
        <w:rPr>
          <w:rFonts w:ascii="Calibri" w:hAnsi="Calibri" w:cs="Calibri"/>
          <w:b/>
          <w:bCs/>
          <w:sz w:val="20"/>
          <w:szCs w:val="20"/>
        </w:rPr>
      </w:pPr>
      <w:r w:rsidRPr="00755805">
        <w:rPr>
          <w:rFonts w:ascii="Calibri" w:hAnsi="Calibri" w:cs="Calibri"/>
          <w:b/>
          <w:bCs/>
          <w:sz w:val="20"/>
          <w:szCs w:val="20"/>
        </w:rPr>
        <w:t>Materiál</w:t>
      </w:r>
    </w:p>
    <w:p w:rsidR="00755805" w:rsidRDefault="00755805" w:rsidP="00755805">
      <w:pPr>
        <w:pStyle w:val="Normlnweb"/>
        <w:rPr>
          <w:rFonts w:ascii="Calibri" w:hAnsi="Calibri" w:cs="Calibri"/>
          <w:sz w:val="20"/>
          <w:szCs w:val="20"/>
        </w:rPr>
      </w:pPr>
      <w:r w:rsidRPr="00755805">
        <w:rPr>
          <w:rFonts w:ascii="Calibri" w:hAnsi="Calibri" w:cs="Calibri"/>
          <w:b/>
          <w:bCs/>
          <w:sz w:val="20"/>
          <w:szCs w:val="20"/>
        </w:rPr>
        <w:t>Dodaný materiál</w:t>
      </w:r>
      <w:r>
        <w:rPr>
          <w:rFonts w:ascii="Calibri" w:hAnsi="Calibri" w:cs="Calibri"/>
          <w:sz w:val="20"/>
          <w:szCs w:val="20"/>
        </w:rPr>
        <w:t xml:space="preserve"> (platí obecně pro testovací kazety pro přístroje </w:t>
      </w:r>
      <w:proofErr w:type="spellStart"/>
      <w:r>
        <w:rPr>
          <w:rFonts w:ascii="Calibri" w:hAnsi="Calibri" w:cs="Calibri"/>
          <w:sz w:val="20"/>
          <w:szCs w:val="20"/>
        </w:rPr>
        <w:t>Finecare</w:t>
      </w:r>
      <w:proofErr w:type="spellEnd"/>
      <w:r>
        <w:rPr>
          <w:rFonts w:ascii="Calibri" w:hAnsi="Calibri" w:cs="Calibri"/>
          <w:sz w:val="20"/>
          <w:szCs w:val="20"/>
        </w:rPr>
        <w:t>, obsah sad pro různé parametry se může lišit)</w:t>
      </w:r>
    </w:p>
    <w:p w:rsidR="00755805" w:rsidRDefault="00755805" w:rsidP="00755805">
      <w:pPr>
        <w:pStyle w:val="Normlnweb"/>
        <w:rPr>
          <w:rFonts w:ascii="Calibri" w:hAnsi="Calibri" w:cs="Calibri"/>
          <w:sz w:val="20"/>
          <w:szCs w:val="20"/>
        </w:rPr>
      </w:pPr>
      <w:r>
        <w:rPr>
          <w:rFonts w:ascii="Calibri" w:hAnsi="Calibri" w:cs="Calibri"/>
          <w:sz w:val="20"/>
          <w:szCs w:val="20"/>
        </w:rPr>
        <w:t>Testovací kazety</w:t>
      </w:r>
      <w:r w:rsidRPr="00755805">
        <w:rPr>
          <w:rFonts w:ascii="Calibri" w:hAnsi="Calibri" w:cs="Calibri"/>
          <w:sz w:val="20"/>
          <w:szCs w:val="20"/>
        </w:rPr>
        <w:t xml:space="preserve"> v uzavřeném sáčku s</w:t>
      </w:r>
      <w:r>
        <w:rPr>
          <w:rFonts w:ascii="Calibri" w:hAnsi="Calibri" w:cs="Calibri"/>
          <w:sz w:val="20"/>
          <w:szCs w:val="20"/>
        </w:rPr>
        <w:t> </w:t>
      </w:r>
      <w:r w:rsidRPr="00755805">
        <w:rPr>
          <w:rFonts w:ascii="Calibri" w:hAnsi="Calibri" w:cs="Calibri"/>
          <w:sz w:val="20"/>
          <w:szCs w:val="20"/>
        </w:rPr>
        <w:t>vysoušečem</w:t>
      </w:r>
      <w:r>
        <w:rPr>
          <w:rFonts w:ascii="Calibri" w:hAnsi="Calibri" w:cs="Calibri"/>
          <w:sz w:val="20"/>
          <w:szCs w:val="20"/>
        </w:rPr>
        <w:t xml:space="preserve">, </w:t>
      </w:r>
      <w:r w:rsidRPr="00755805">
        <w:rPr>
          <w:rFonts w:ascii="Calibri" w:hAnsi="Calibri" w:cs="Calibri"/>
          <w:sz w:val="20"/>
          <w:szCs w:val="20"/>
        </w:rPr>
        <w:t>ID čip</w:t>
      </w:r>
      <w:r>
        <w:rPr>
          <w:rFonts w:ascii="Calibri" w:hAnsi="Calibri" w:cs="Calibri"/>
          <w:sz w:val="20"/>
          <w:szCs w:val="20"/>
        </w:rPr>
        <w:t>, d</w:t>
      </w:r>
      <w:r w:rsidRPr="00755805">
        <w:rPr>
          <w:rFonts w:ascii="Calibri" w:hAnsi="Calibri" w:cs="Calibri"/>
          <w:sz w:val="20"/>
          <w:szCs w:val="20"/>
        </w:rPr>
        <w:t xml:space="preserve">etekční </w:t>
      </w:r>
      <w:r>
        <w:rPr>
          <w:rFonts w:ascii="Calibri" w:hAnsi="Calibri" w:cs="Calibri"/>
          <w:sz w:val="20"/>
          <w:szCs w:val="20"/>
        </w:rPr>
        <w:t xml:space="preserve">pufr, </w:t>
      </w:r>
      <w:proofErr w:type="spellStart"/>
      <w:r>
        <w:rPr>
          <w:rFonts w:ascii="Calibri" w:hAnsi="Calibri" w:cs="Calibri"/>
          <w:sz w:val="20"/>
          <w:szCs w:val="20"/>
        </w:rPr>
        <w:t>p</w:t>
      </w:r>
      <w:r w:rsidRPr="00755805">
        <w:rPr>
          <w:rFonts w:ascii="Calibri" w:hAnsi="Calibri" w:cs="Calibri"/>
          <w:sz w:val="20"/>
          <w:szCs w:val="20"/>
        </w:rPr>
        <w:t>ipetovací</w:t>
      </w:r>
      <w:proofErr w:type="spellEnd"/>
      <w:r w:rsidRPr="00755805">
        <w:rPr>
          <w:rFonts w:ascii="Calibri" w:hAnsi="Calibri" w:cs="Calibri"/>
          <w:sz w:val="20"/>
          <w:szCs w:val="20"/>
        </w:rPr>
        <w:t xml:space="preserve"> špička</w:t>
      </w:r>
      <w:r>
        <w:rPr>
          <w:rFonts w:ascii="Calibri" w:hAnsi="Calibri" w:cs="Calibri"/>
          <w:sz w:val="20"/>
          <w:szCs w:val="20"/>
        </w:rPr>
        <w:t>, návod k použití</w:t>
      </w:r>
    </w:p>
    <w:p w:rsidR="00755805" w:rsidRDefault="00755805" w:rsidP="00755805">
      <w:pPr>
        <w:pStyle w:val="Normlnweb"/>
        <w:rPr>
          <w:rFonts w:ascii="Calibri" w:hAnsi="Calibri" w:cs="Calibri"/>
          <w:sz w:val="20"/>
          <w:szCs w:val="20"/>
        </w:rPr>
      </w:pPr>
      <w:r w:rsidRPr="00755805">
        <w:rPr>
          <w:rFonts w:ascii="Calibri" w:hAnsi="Calibri" w:cs="Calibri"/>
          <w:b/>
          <w:bCs/>
          <w:sz w:val="20"/>
          <w:szCs w:val="20"/>
        </w:rPr>
        <w:t>Potřebný materiál</w:t>
      </w:r>
      <w:r>
        <w:rPr>
          <w:rFonts w:ascii="Calibri" w:hAnsi="Calibri" w:cs="Calibri"/>
          <w:sz w:val="20"/>
          <w:szCs w:val="20"/>
        </w:rPr>
        <w:t xml:space="preserve"> (nedodáván, potřeby se mohou lišit dle zvyklostí pracoviště)</w:t>
      </w:r>
    </w:p>
    <w:p w:rsidR="00755805" w:rsidRDefault="00755805" w:rsidP="00755805">
      <w:pPr>
        <w:pStyle w:val="Normlnweb"/>
        <w:rPr>
          <w:rFonts w:ascii="Calibri" w:hAnsi="Calibri" w:cs="Calibri"/>
          <w:sz w:val="20"/>
          <w:szCs w:val="20"/>
        </w:rPr>
      </w:pPr>
      <w:proofErr w:type="spellStart"/>
      <w:r w:rsidRPr="00755805">
        <w:rPr>
          <w:rFonts w:ascii="Calibri" w:hAnsi="Calibri" w:cs="Calibri"/>
          <w:sz w:val="20"/>
          <w:szCs w:val="20"/>
        </w:rPr>
        <w:t>Finecare</w:t>
      </w:r>
      <w:proofErr w:type="spellEnd"/>
      <w:r w:rsidRPr="00755805">
        <w:rPr>
          <w:rFonts w:ascii="Calibri" w:hAnsi="Calibri" w:cs="Calibri"/>
          <w:sz w:val="20"/>
          <w:szCs w:val="20"/>
        </w:rPr>
        <w:t xml:space="preserve"> ™ FIA systém</w:t>
      </w:r>
      <w:r>
        <w:rPr>
          <w:rFonts w:ascii="Calibri" w:hAnsi="Calibri" w:cs="Calibri"/>
          <w:sz w:val="20"/>
          <w:szCs w:val="20"/>
        </w:rPr>
        <w:t>, pipeta</w:t>
      </w:r>
      <w:r w:rsidRPr="00755805">
        <w:rPr>
          <w:rFonts w:ascii="Calibri" w:hAnsi="Calibri" w:cs="Calibri"/>
          <w:sz w:val="20"/>
          <w:szCs w:val="20"/>
        </w:rPr>
        <w:t xml:space="preserve"> (velikost 100 </w:t>
      </w:r>
      <w:proofErr w:type="spellStart"/>
      <w:r w:rsidRPr="00755805">
        <w:rPr>
          <w:rFonts w:ascii="Calibri" w:hAnsi="Calibri" w:cs="Calibri"/>
          <w:sz w:val="20"/>
          <w:szCs w:val="20"/>
        </w:rPr>
        <w:t>μL</w:t>
      </w:r>
      <w:proofErr w:type="spellEnd"/>
      <w:r w:rsidRPr="00755805">
        <w:rPr>
          <w:rFonts w:ascii="Calibri" w:hAnsi="Calibri" w:cs="Calibri"/>
          <w:sz w:val="20"/>
          <w:szCs w:val="20"/>
        </w:rPr>
        <w:t>)</w:t>
      </w:r>
      <w:r>
        <w:rPr>
          <w:rFonts w:ascii="Calibri" w:hAnsi="Calibri" w:cs="Calibri"/>
          <w:sz w:val="20"/>
          <w:szCs w:val="20"/>
        </w:rPr>
        <w:t>, n</w:t>
      </w:r>
      <w:r w:rsidRPr="00755805">
        <w:rPr>
          <w:rFonts w:ascii="Calibri" w:hAnsi="Calibri" w:cs="Calibri"/>
          <w:sz w:val="20"/>
          <w:szCs w:val="20"/>
        </w:rPr>
        <w:t>ádoby na odběr vzorků</w:t>
      </w:r>
      <w:r>
        <w:rPr>
          <w:rFonts w:ascii="Calibri" w:hAnsi="Calibri" w:cs="Calibri"/>
          <w:sz w:val="20"/>
          <w:szCs w:val="20"/>
        </w:rPr>
        <w:t>, o</w:t>
      </w:r>
      <w:r w:rsidRPr="00755805">
        <w:rPr>
          <w:rFonts w:ascii="Calibri" w:hAnsi="Calibri" w:cs="Calibri"/>
          <w:sz w:val="20"/>
          <w:szCs w:val="20"/>
        </w:rPr>
        <w:t>dstředivka (pouze pro vzorek séra / plazmy)</w:t>
      </w:r>
      <w:r>
        <w:rPr>
          <w:rFonts w:ascii="Calibri" w:hAnsi="Calibri" w:cs="Calibri"/>
          <w:sz w:val="20"/>
          <w:szCs w:val="20"/>
        </w:rPr>
        <w:t>, č</w:t>
      </w:r>
      <w:r w:rsidRPr="00755805">
        <w:rPr>
          <w:rFonts w:ascii="Calibri" w:hAnsi="Calibri" w:cs="Calibri"/>
          <w:sz w:val="20"/>
          <w:szCs w:val="20"/>
        </w:rPr>
        <w:t>asovač</w:t>
      </w:r>
      <w:r>
        <w:rPr>
          <w:rFonts w:ascii="Calibri" w:hAnsi="Calibri" w:cs="Calibri"/>
          <w:sz w:val="20"/>
          <w:szCs w:val="20"/>
        </w:rPr>
        <w:t>.</w:t>
      </w:r>
    </w:p>
    <w:p w:rsidR="00755805" w:rsidRDefault="00755805" w:rsidP="00755805">
      <w:pPr>
        <w:pStyle w:val="Normlnweb"/>
        <w:rPr>
          <w:rFonts w:ascii="Calibri" w:hAnsi="Calibri" w:cs="Calibri"/>
          <w:b/>
          <w:bCs/>
          <w:sz w:val="20"/>
          <w:szCs w:val="20"/>
        </w:rPr>
      </w:pPr>
      <w:r w:rsidRPr="00755805">
        <w:rPr>
          <w:rFonts w:ascii="Calibri" w:hAnsi="Calibri" w:cs="Calibri"/>
          <w:b/>
          <w:bCs/>
          <w:sz w:val="20"/>
          <w:szCs w:val="20"/>
        </w:rPr>
        <w:t>Skladování a stabilita</w:t>
      </w:r>
    </w:p>
    <w:p w:rsidR="00755805" w:rsidRPr="00755805" w:rsidRDefault="00755805" w:rsidP="00755805">
      <w:pPr>
        <w:pStyle w:val="Normlnweb"/>
        <w:rPr>
          <w:rFonts w:ascii="Calibri" w:hAnsi="Calibri" w:cs="Calibri"/>
          <w:sz w:val="20"/>
          <w:szCs w:val="20"/>
        </w:rPr>
      </w:pPr>
      <w:r w:rsidRPr="00755805">
        <w:rPr>
          <w:rFonts w:ascii="Calibri" w:hAnsi="Calibri" w:cs="Calibri"/>
          <w:sz w:val="20"/>
          <w:szCs w:val="20"/>
        </w:rPr>
        <w:t xml:space="preserve">1. Zkušební soupravu skladujte při teplotě </w:t>
      </w:r>
      <w:r>
        <w:rPr>
          <w:rFonts w:ascii="Calibri" w:hAnsi="Calibri" w:cs="Calibri"/>
          <w:sz w:val="20"/>
          <w:szCs w:val="20"/>
        </w:rPr>
        <w:t xml:space="preserve">od </w:t>
      </w:r>
      <w:r w:rsidRPr="00755805">
        <w:rPr>
          <w:rFonts w:ascii="Calibri" w:hAnsi="Calibri" w:cs="Calibri"/>
          <w:sz w:val="20"/>
          <w:szCs w:val="20"/>
        </w:rPr>
        <w:t xml:space="preserve">4 C </w:t>
      </w:r>
      <w:r>
        <w:rPr>
          <w:rFonts w:ascii="Calibri" w:hAnsi="Calibri" w:cs="Calibri"/>
          <w:sz w:val="20"/>
          <w:szCs w:val="20"/>
        </w:rPr>
        <w:t xml:space="preserve">po </w:t>
      </w:r>
      <w:r w:rsidRPr="00755805">
        <w:rPr>
          <w:rFonts w:ascii="Calibri" w:hAnsi="Calibri" w:cs="Calibri"/>
          <w:sz w:val="20"/>
          <w:szCs w:val="20"/>
        </w:rPr>
        <w:t>30 C až do data exspirace vytištěného na obalu.</w:t>
      </w:r>
    </w:p>
    <w:p w:rsidR="00755805" w:rsidRPr="00755805" w:rsidRDefault="00755805" w:rsidP="00755805">
      <w:pPr>
        <w:pStyle w:val="Normlnweb"/>
        <w:rPr>
          <w:rFonts w:ascii="Calibri" w:hAnsi="Calibri" w:cs="Calibri"/>
          <w:sz w:val="20"/>
          <w:szCs w:val="20"/>
        </w:rPr>
      </w:pPr>
      <w:r w:rsidRPr="00755805">
        <w:rPr>
          <w:rFonts w:ascii="Calibri" w:hAnsi="Calibri" w:cs="Calibri"/>
          <w:sz w:val="20"/>
          <w:szCs w:val="20"/>
        </w:rPr>
        <w:t xml:space="preserve">2. Pokud vyjmete z chladničky, nechte testovací soupravu po dobu 30 minut </w:t>
      </w:r>
      <w:r>
        <w:rPr>
          <w:rFonts w:ascii="Calibri" w:hAnsi="Calibri" w:cs="Calibri"/>
          <w:sz w:val="20"/>
          <w:szCs w:val="20"/>
        </w:rPr>
        <w:t>v </w:t>
      </w:r>
      <w:r w:rsidRPr="00755805">
        <w:rPr>
          <w:rFonts w:ascii="Calibri" w:hAnsi="Calibri" w:cs="Calibri"/>
          <w:sz w:val="20"/>
          <w:szCs w:val="20"/>
        </w:rPr>
        <w:t>místnosti před testováním.</w:t>
      </w:r>
    </w:p>
    <w:p w:rsidR="00755805" w:rsidRDefault="00755805" w:rsidP="00755805">
      <w:pPr>
        <w:pStyle w:val="Normlnweb"/>
        <w:rPr>
          <w:rFonts w:ascii="Calibri" w:hAnsi="Calibri" w:cs="Calibri"/>
          <w:sz w:val="20"/>
          <w:szCs w:val="20"/>
        </w:rPr>
      </w:pPr>
      <w:r w:rsidRPr="00755805">
        <w:rPr>
          <w:rFonts w:ascii="Calibri" w:hAnsi="Calibri" w:cs="Calibri"/>
          <w:sz w:val="20"/>
          <w:szCs w:val="20"/>
        </w:rPr>
        <w:t>3. Nevyjímejte testovací kazetu z obalu, dokud ji nepoužijete. Testovací kazeta</w:t>
      </w:r>
      <w:r>
        <w:rPr>
          <w:rFonts w:ascii="Calibri" w:hAnsi="Calibri" w:cs="Calibri"/>
          <w:sz w:val="20"/>
          <w:szCs w:val="20"/>
        </w:rPr>
        <w:t xml:space="preserve"> </w:t>
      </w:r>
      <w:r w:rsidRPr="00755805">
        <w:rPr>
          <w:rFonts w:ascii="Calibri" w:hAnsi="Calibri" w:cs="Calibri"/>
          <w:sz w:val="20"/>
          <w:szCs w:val="20"/>
        </w:rPr>
        <w:t>by měl</w:t>
      </w:r>
      <w:r>
        <w:rPr>
          <w:rFonts w:ascii="Calibri" w:hAnsi="Calibri" w:cs="Calibri"/>
          <w:sz w:val="20"/>
          <w:szCs w:val="20"/>
        </w:rPr>
        <w:t>a</w:t>
      </w:r>
      <w:r w:rsidRPr="00755805">
        <w:rPr>
          <w:rFonts w:ascii="Calibri" w:hAnsi="Calibri" w:cs="Calibri"/>
          <w:sz w:val="20"/>
          <w:szCs w:val="20"/>
        </w:rPr>
        <w:t xml:space="preserve"> být použit</w:t>
      </w:r>
      <w:r>
        <w:rPr>
          <w:rFonts w:ascii="Calibri" w:hAnsi="Calibri" w:cs="Calibri"/>
          <w:sz w:val="20"/>
          <w:szCs w:val="20"/>
        </w:rPr>
        <w:t>a</w:t>
      </w:r>
      <w:r w:rsidRPr="00755805">
        <w:rPr>
          <w:rFonts w:ascii="Calibri" w:hAnsi="Calibri" w:cs="Calibri"/>
          <w:sz w:val="20"/>
          <w:szCs w:val="20"/>
        </w:rPr>
        <w:t xml:space="preserve"> do 1 hodiny po otevření.</w:t>
      </w:r>
    </w:p>
    <w:p w:rsidR="00F632FC" w:rsidRPr="00050B33" w:rsidRDefault="00F632FC" w:rsidP="00755805">
      <w:pPr>
        <w:pStyle w:val="Normlnweb"/>
        <w:rPr>
          <w:rFonts w:ascii="Calibri" w:hAnsi="Calibri" w:cs="Calibri"/>
          <w:b/>
          <w:bCs/>
          <w:sz w:val="20"/>
          <w:szCs w:val="20"/>
        </w:rPr>
      </w:pPr>
      <w:r w:rsidRPr="00050B33">
        <w:rPr>
          <w:rFonts w:ascii="Calibri" w:hAnsi="Calibri" w:cs="Calibri"/>
          <w:b/>
          <w:bCs/>
          <w:sz w:val="20"/>
          <w:szCs w:val="20"/>
        </w:rPr>
        <w:t>Odebrání vzorku a příprava</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Zkoušku lze provést pouze se sérem.</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Pro sérum:</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1. Co nejdříve oddělte sérum od krve, abyste zabránili hemolýze.</w:t>
      </w:r>
    </w:p>
    <w:p w:rsidR="00BC3402" w:rsidRDefault="00BC3402" w:rsidP="00BC3402">
      <w:pPr>
        <w:pStyle w:val="Normlnweb"/>
        <w:rPr>
          <w:rFonts w:ascii="Calibri" w:hAnsi="Calibri" w:cs="Calibri"/>
          <w:sz w:val="20"/>
          <w:szCs w:val="20"/>
        </w:rPr>
      </w:pPr>
      <w:r w:rsidRPr="00BC3402">
        <w:rPr>
          <w:rFonts w:ascii="Calibri" w:hAnsi="Calibri" w:cs="Calibri"/>
          <w:sz w:val="20"/>
          <w:szCs w:val="20"/>
        </w:rPr>
        <w:t>2. Test by měl být proveden ihned po odběru vzorků</w:t>
      </w:r>
      <w:r>
        <w:rPr>
          <w:rFonts w:ascii="Calibri" w:hAnsi="Calibri" w:cs="Calibri"/>
          <w:sz w:val="20"/>
          <w:szCs w:val="20"/>
        </w:rPr>
        <w:t xml:space="preserve">. </w:t>
      </w:r>
      <w:r w:rsidRPr="00BC3402">
        <w:rPr>
          <w:rFonts w:ascii="Calibri" w:hAnsi="Calibri" w:cs="Calibri"/>
          <w:sz w:val="20"/>
          <w:szCs w:val="20"/>
        </w:rPr>
        <w:t>Vzorky nenechávejte delší dobu při pokojové teplotě. Vzorky mohou být skladovány při 2 ° C ~ 8 ° C až 3 dny. Pro dlouhodobé skladování by měly být vzorky uchovávány při teplotě pod -20 ° C.</w:t>
      </w:r>
    </w:p>
    <w:p w:rsidR="00F632FC" w:rsidRPr="00050B33" w:rsidRDefault="00F632FC" w:rsidP="00F632FC">
      <w:pPr>
        <w:pStyle w:val="Normlnweb"/>
        <w:rPr>
          <w:rFonts w:ascii="Calibri" w:hAnsi="Calibri" w:cs="Calibri"/>
          <w:b/>
          <w:bCs/>
          <w:sz w:val="20"/>
          <w:szCs w:val="20"/>
        </w:rPr>
      </w:pPr>
      <w:r w:rsidRPr="00050B33">
        <w:rPr>
          <w:rFonts w:ascii="Calibri" w:hAnsi="Calibri" w:cs="Calibri"/>
          <w:b/>
          <w:bCs/>
          <w:sz w:val="20"/>
          <w:szCs w:val="20"/>
        </w:rPr>
        <w:t>Testovací proces</w:t>
      </w:r>
    </w:p>
    <w:p w:rsidR="00F632FC" w:rsidRDefault="00F632FC" w:rsidP="00F632FC">
      <w:pPr>
        <w:pStyle w:val="Normlnweb"/>
        <w:rPr>
          <w:rFonts w:ascii="Calibri" w:hAnsi="Calibri" w:cs="Calibri"/>
          <w:sz w:val="20"/>
          <w:szCs w:val="20"/>
        </w:rPr>
      </w:pPr>
      <w:r w:rsidRPr="00F632FC">
        <w:rPr>
          <w:rFonts w:ascii="Calibri" w:hAnsi="Calibri" w:cs="Calibri"/>
          <w:sz w:val="20"/>
          <w:szCs w:val="20"/>
        </w:rPr>
        <w:t xml:space="preserve">Úplné informace a provozní postupy najdete v provozní příručce k systému </w:t>
      </w:r>
      <w:proofErr w:type="spellStart"/>
      <w:r w:rsidRPr="00F632FC">
        <w:rPr>
          <w:rFonts w:ascii="Calibri" w:hAnsi="Calibri" w:cs="Calibri"/>
          <w:sz w:val="20"/>
          <w:szCs w:val="20"/>
        </w:rPr>
        <w:t>FinecareTM</w:t>
      </w:r>
      <w:proofErr w:type="spellEnd"/>
      <w:r w:rsidRPr="00F632FC">
        <w:rPr>
          <w:rFonts w:ascii="Calibri" w:hAnsi="Calibri" w:cs="Calibri"/>
          <w:sz w:val="20"/>
          <w:szCs w:val="20"/>
        </w:rPr>
        <w:t xml:space="preserve"> FIA. Test by měl být prováděn při pokojové teplotě. </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Krok 1: Příprava</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lastRenderedPageBreak/>
        <w:t>Zkontrolujte / vložte ID čip do zařízení.</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 xml:space="preserve">Vyjměte jednu zkumavku </w:t>
      </w:r>
      <w:r>
        <w:rPr>
          <w:rFonts w:ascii="Calibri" w:hAnsi="Calibri" w:cs="Calibri"/>
          <w:sz w:val="20"/>
          <w:szCs w:val="20"/>
        </w:rPr>
        <w:t>s pufrem</w:t>
      </w:r>
      <w:r w:rsidRPr="00BC3402">
        <w:rPr>
          <w:rFonts w:ascii="Calibri" w:hAnsi="Calibri" w:cs="Calibri"/>
          <w:sz w:val="20"/>
          <w:szCs w:val="20"/>
        </w:rPr>
        <w:t xml:space="preserve"> a několik minut ji </w:t>
      </w:r>
      <w:r>
        <w:rPr>
          <w:rFonts w:ascii="Calibri" w:hAnsi="Calibri" w:cs="Calibri"/>
          <w:sz w:val="20"/>
          <w:szCs w:val="20"/>
        </w:rPr>
        <w:t>ponechte</w:t>
      </w:r>
      <w:r w:rsidRPr="00BC3402">
        <w:rPr>
          <w:rFonts w:ascii="Calibri" w:hAnsi="Calibri" w:cs="Calibri"/>
          <w:sz w:val="20"/>
          <w:szCs w:val="20"/>
        </w:rPr>
        <w:t xml:space="preserve"> při pokojové teplotě</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Krok 2: Vzorkování</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Na</w:t>
      </w:r>
      <w:r>
        <w:rPr>
          <w:rFonts w:ascii="Calibri" w:hAnsi="Calibri" w:cs="Calibri"/>
          <w:sz w:val="20"/>
          <w:szCs w:val="20"/>
        </w:rPr>
        <w:t>berte</w:t>
      </w:r>
      <w:r w:rsidRPr="00BC3402">
        <w:rPr>
          <w:rFonts w:ascii="Calibri" w:hAnsi="Calibri" w:cs="Calibri"/>
          <w:sz w:val="20"/>
          <w:szCs w:val="20"/>
        </w:rPr>
        <w:t xml:space="preserve"> 75 </w:t>
      </w:r>
      <w:proofErr w:type="spellStart"/>
      <w:r w:rsidRPr="00BC3402">
        <w:rPr>
          <w:rFonts w:ascii="Calibri" w:hAnsi="Calibri" w:cs="Calibri"/>
          <w:sz w:val="20"/>
          <w:szCs w:val="20"/>
        </w:rPr>
        <w:t>μl</w:t>
      </w:r>
      <w:proofErr w:type="spellEnd"/>
      <w:r w:rsidRPr="00BC3402">
        <w:rPr>
          <w:rFonts w:ascii="Calibri" w:hAnsi="Calibri" w:cs="Calibri"/>
          <w:sz w:val="20"/>
          <w:szCs w:val="20"/>
        </w:rPr>
        <w:t xml:space="preserve"> séra pomocí přenosové pipety a přidejte jej do zkumavky s pufrem.</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Krok 3: Míchání</w:t>
      </w:r>
    </w:p>
    <w:p w:rsidR="00BC3402" w:rsidRDefault="00BC3402" w:rsidP="00BC3402">
      <w:pPr>
        <w:pStyle w:val="Normlnweb"/>
        <w:rPr>
          <w:rFonts w:ascii="Calibri" w:hAnsi="Calibri" w:cs="Calibri"/>
          <w:sz w:val="20"/>
          <w:szCs w:val="20"/>
        </w:rPr>
      </w:pPr>
      <w:r w:rsidRPr="00BC3402">
        <w:rPr>
          <w:rFonts w:ascii="Calibri" w:hAnsi="Calibri" w:cs="Calibri"/>
          <w:sz w:val="20"/>
          <w:szCs w:val="20"/>
        </w:rPr>
        <w:t xml:space="preserve">Dobře promíchejte vzorek s pufrem po dobu 1 minuty poklepáním nebo převrácením zkumavky. </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Krok 4: Na</w:t>
      </w:r>
      <w:r>
        <w:rPr>
          <w:rFonts w:ascii="Calibri" w:hAnsi="Calibri" w:cs="Calibri"/>
          <w:sz w:val="20"/>
          <w:szCs w:val="20"/>
        </w:rPr>
        <w:t>brání</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 xml:space="preserve">Vezměte 75 </w:t>
      </w:r>
      <w:proofErr w:type="spellStart"/>
      <w:r w:rsidRPr="00BC3402">
        <w:rPr>
          <w:rFonts w:ascii="Calibri" w:hAnsi="Calibri" w:cs="Calibri"/>
          <w:sz w:val="20"/>
          <w:szCs w:val="20"/>
        </w:rPr>
        <w:t>μl</w:t>
      </w:r>
      <w:proofErr w:type="spellEnd"/>
      <w:r w:rsidRPr="00BC3402">
        <w:rPr>
          <w:rFonts w:ascii="Calibri" w:hAnsi="Calibri" w:cs="Calibri"/>
          <w:sz w:val="20"/>
          <w:szCs w:val="20"/>
        </w:rPr>
        <w:t xml:space="preserve"> směsi vzorků a vložte ji do jamky vzorku v testovací kazetě.</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Krok 5: Testování</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 xml:space="preserve">1. </w:t>
      </w:r>
      <w:proofErr w:type="spellStart"/>
      <w:r w:rsidRPr="00BC3402">
        <w:rPr>
          <w:rFonts w:ascii="Calibri" w:hAnsi="Calibri" w:cs="Calibri"/>
          <w:sz w:val="20"/>
          <w:szCs w:val="20"/>
        </w:rPr>
        <w:t>FinecareTM</w:t>
      </w:r>
      <w:proofErr w:type="spellEnd"/>
      <w:r w:rsidRPr="00BC3402">
        <w:rPr>
          <w:rFonts w:ascii="Calibri" w:hAnsi="Calibri" w:cs="Calibri"/>
          <w:sz w:val="20"/>
          <w:szCs w:val="20"/>
        </w:rPr>
        <w:t xml:space="preserve"> FIA metr:</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Standardní test: Vložte testovací kazetu do držáku testovací kazety a klikněte na „Test“. O 15 minut později se výsledek zobrazí na displeji a vytiskne se po kliknutí na „Tisk“.</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Rychlý test: Vložte zkušební kazetu na operační platformu. O 15 minut později vložte testovací kazetu do držáku testovací kazety a klikněte na „Test“. Výsledek se zobrazí na displeji a vytiskne se po kliknutí na „Tisk“.</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 xml:space="preserve">2. Vícekanálový měřič FIA </w:t>
      </w:r>
      <w:proofErr w:type="spellStart"/>
      <w:r w:rsidRPr="00BC3402">
        <w:rPr>
          <w:rFonts w:ascii="Calibri" w:hAnsi="Calibri" w:cs="Calibri"/>
          <w:sz w:val="20"/>
          <w:szCs w:val="20"/>
        </w:rPr>
        <w:t>Finecare</w:t>
      </w:r>
      <w:proofErr w:type="spellEnd"/>
      <w:r w:rsidRPr="00BC3402">
        <w:rPr>
          <w:rFonts w:ascii="Calibri" w:hAnsi="Calibri" w:cs="Calibri"/>
          <w:sz w:val="20"/>
          <w:szCs w:val="20"/>
        </w:rPr>
        <w:t xml:space="preserve"> ™:</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Vložte testovací kazetu do držáku testovací kazety. O 15 minut později se výsledek zobrazí na displeji a vytiskne se po kliknutí na „Tisk“.</w:t>
      </w:r>
    </w:p>
    <w:p w:rsidR="00F632FC" w:rsidRDefault="00BC3402" w:rsidP="00F632FC">
      <w:pPr>
        <w:pStyle w:val="Normlnweb"/>
        <w:rPr>
          <w:rFonts w:ascii="Calibri" w:hAnsi="Calibri" w:cs="Calibri"/>
          <w:sz w:val="20"/>
          <w:szCs w:val="20"/>
        </w:rPr>
      </w:pPr>
      <w:r w:rsidRPr="00BC3402">
        <w:rPr>
          <w:rFonts w:ascii="Calibri" w:hAnsi="Calibri" w:cs="Calibri"/>
          <w:sz w:val="20"/>
          <w:szCs w:val="20"/>
        </w:rPr>
        <w:t xml:space="preserve">Podrobnosti najdete v návodu k obsluze přístroje </w:t>
      </w:r>
      <w:proofErr w:type="spellStart"/>
      <w:r w:rsidRPr="00BC3402">
        <w:rPr>
          <w:rFonts w:ascii="Calibri" w:hAnsi="Calibri" w:cs="Calibri"/>
          <w:sz w:val="20"/>
          <w:szCs w:val="20"/>
        </w:rPr>
        <w:t>FinecareTM</w:t>
      </w:r>
      <w:proofErr w:type="spellEnd"/>
      <w:r w:rsidRPr="00BC3402">
        <w:rPr>
          <w:rFonts w:ascii="Calibri" w:hAnsi="Calibri" w:cs="Calibri"/>
          <w:sz w:val="20"/>
          <w:szCs w:val="20"/>
        </w:rPr>
        <w:t xml:space="preserve"> FIA Meter.</w:t>
      </w:r>
    </w:p>
    <w:p w:rsidR="00F632FC" w:rsidRPr="00F632FC" w:rsidRDefault="00F632FC" w:rsidP="00F632FC">
      <w:pPr>
        <w:pStyle w:val="Normlnweb"/>
        <w:rPr>
          <w:rFonts w:ascii="Calibri" w:hAnsi="Calibri" w:cs="Calibri"/>
          <w:b/>
          <w:bCs/>
          <w:sz w:val="20"/>
          <w:szCs w:val="20"/>
        </w:rPr>
      </w:pPr>
      <w:r w:rsidRPr="00F632FC">
        <w:rPr>
          <w:rFonts w:ascii="Calibri" w:hAnsi="Calibri" w:cs="Calibri"/>
          <w:b/>
          <w:bCs/>
          <w:sz w:val="20"/>
          <w:szCs w:val="20"/>
        </w:rPr>
        <w:t>Kontrola kvality</w:t>
      </w:r>
    </w:p>
    <w:p w:rsidR="00F632FC" w:rsidRDefault="00F632FC" w:rsidP="00F632FC">
      <w:pPr>
        <w:pStyle w:val="Normlnweb"/>
        <w:rPr>
          <w:rFonts w:ascii="Calibri" w:hAnsi="Calibri" w:cs="Calibri"/>
          <w:sz w:val="20"/>
          <w:szCs w:val="20"/>
        </w:rPr>
      </w:pPr>
      <w:r w:rsidRPr="00F632FC">
        <w:rPr>
          <w:rFonts w:ascii="Calibri" w:hAnsi="Calibri" w:cs="Calibri"/>
          <w:sz w:val="20"/>
          <w:szCs w:val="20"/>
        </w:rPr>
        <w:t xml:space="preserve">Každá rychlá kvantitativní testovací kazeta </w:t>
      </w:r>
      <w:proofErr w:type="spellStart"/>
      <w:r w:rsidRPr="00F632FC">
        <w:rPr>
          <w:rFonts w:ascii="Calibri" w:hAnsi="Calibri" w:cs="Calibri"/>
          <w:sz w:val="20"/>
          <w:szCs w:val="20"/>
        </w:rPr>
        <w:t>Finecare</w:t>
      </w:r>
      <w:proofErr w:type="spellEnd"/>
      <w:r w:rsidRPr="00F632FC">
        <w:rPr>
          <w:rFonts w:ascii="Calibri" w:hAnsi="Calibri" w:cs="Calibri"/>
          <w:sz w:val="20"/>
          <w:szCs w:val="20"/>
        </w:rPr>
        <w:t xml:space="preserve"> ™ </w:t>
      </w:r>
      <w:r w:rsidR="00BC3402">
        <w:rPr>
          <w:rFonts w:ascii="Calibri" w:hAnsi="Calibri" w:cs="Calibri"/>
          <w:sz w:val="20"/>
          <w:szCs w:val="20"/>
        </w:rPr>
        <w:t>PSA</w:t>
      </w:r>
      <w:r w:rsidRPr="00F632FC">
        <w:rPr>
          <w:rFonts w:ascii="Calibri" w:hAnsi="Calibri" w:cs="Calibri"/>
          <w:sz w:val="20"/>
          <w:szCs w:val="20"/>
        </w:rPr>
        <w:t xml:space="preserve"> obsahuje vnitřní kontrolu, která splňuje běžné požadavky na kontrolu kvality. Tato vnitřní kontrola se provádí pokaždé, když je testován vzorek pacienta. Tento ovládací prvek indikuje, že testovací kazeta byla vložena a správně přečtena systémem </w:t>
      </w:r>
      <w:proofErr w:type="spellStart"/>
      <w:r w:rsidRPr="00F632FC">
        <w:rPr>
          <w:rFonts w:ascii="Calibri" w:hAnsi="Calibri" w:cs="Calibri"/>
          <w:sz w:val="20"/>
          <w:szCs w:val="20"/>
        </w:rPr>
        <w:t>Finecare</w:t>
      </w:r>
      <w:proofErr w:type="spellEnd"/>
      <w:r w:rsidRPr="00F632FC">
        <w:rPr>
          <w:rFonts w:ascii="Calibri" w:hAnsi="Calibri" w:cs="Calibri"/>
          <w:sz w:val="20"/>
          <w:szCs w:val="20"/>
        </w:rPr>
        <w:t xml:space="preserve"> ™ FIA.</w:t>
      </w:r>
    </w:p>
    <w:p w:rsidR="00F632FC" w:rsidRDefault="00F632FC" w:rsidP="00F632FC">
      <w:pPr>
        <w:pStyle w:val="Normlnweb"/>
        <w:rPr>
          <w:rFonts w:ascii="Calibri" w:hAnsi="Calibri" w:cs="Calibri"/>
          <w:sz w:val="20"/>
          <w:szCs w:val="20"/>
        </w:rPr>
      </w:pPr>
      <w:r w:rsidRPr="00F632FC">
        <w:rPr>
          <w:rFonts w:ascii="Calibri" w:hAnsi="Calibri" w:cs="Calibri"/>
          <w:sz w:val="20"/>
          <w:szCs w:val="20"/>
        </w:rPr>
        <w:t xml:space="preserve">Neplatný výsledek z interní kontroly způsobuje chybové hlášení v systému </w:t>
      </w:r>
      <w:proofErr w:type="spellStart"/>
      <w:r w:rsidRPr="00F632FC">
        <w:rPr>
          <w:rFonts w:ascii="Calibri" w:hAnsi="Calibri" w:cs="Calibri"/>
          <w:sz w:val="20"/>
          <w:szCs w:val="20"/>
        </w:rPr>
        <w:t>Finecare</w:t>
      </w:r>
      <w:proofErr w:type="spellEnd"/>
      <w:r w:rsidRPr="00F632FC">
        <w:rPr>
          <w:rFonts w:ascii="Calibri" w:hAnsi="Calibri" w:cs="Calibri"/>
          <w:sz w:val="20"/>
          <w:szCs w:val="20"/>
        </w:rPr>
        <w:t xml:space="preserve"> ™ FIA, které naznačuje, že test by měl být opakován.</w:t>
      </w:r>
    </w:p>
    <w:p w:rsidR="00BB24C1" w:rsidRPr="00BB24C1" w:rsidRDefault="00BB24C1" w:rsidP="00F632FC">
      <w:pPr>
        <w:pStyle w:val="Normlnweb"/>
        <w:rPr>
          <w:rFonts w:ascii="Calibri" w:hAnsi="Calibri" w:cs="Calibri"/>
          <w:b/>
          <w:bCs/>
          <w:sz w:val="20"/>
          <w:szCs w:val="20"/>
        </w:rPr>
      </w:pPr>
      <w:r w:rsidRPr="00BB24C1">
        <w:rPr>
          <w:rFonts w:ascii="Calibri" w:hAnsi="Calibri" w:cs="Calibri"/>
          <w:b/>
          <w:bCs/>
          <w:sz w:val="20"/>
          <w:szCs w:val="20"/>
        </w:rPr>
        <w:t>Omezení</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1. Tento test byl vyvinut pouze pro testování vzorku lidského séra.</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 xml:space="preserve">2. Výsledky rychlého kvantitativního testu </w:t>
      </w:r>
      <w:proofErr w:type="spellStart"/>
      <w:r w:rsidRPr="00BC3402">
        <w:rPr>
          <w:rFonts w:ascii="Calibri" w:hAnsi="Calibri" w:cs="Calibri"/>
          <w:sz w:val="20"/>
          <w:szCs w:val="20"/>
        </w:rPr>
        <w:t>Finecare</w:t>
      </w:r>
      <w:proofErr w:type="spellEnd"/>
      <w:r w:rsidRPr="00BC3402">
        <w:rPr>
          <w:rFonts w:ascii="Calibri" w:hAnsi="Calibri" w:cs="Calibri"/>
          <w:sz w:val="20"/>
          <w:szCs w:val="20"/>
        </w:rPr>
        <w:t xml:space="preserve"> ™ PSA by měly být vyhodnoceny</w:t>
      </w:r>
      <w:r>
        <w:rPr>
          <w:rFonts w:ascii="Calibri" w:hAnsi="Calibri" w:cs="Calibri"/>
          <w:sz w:val="20"/>
          <w:szCs w:val="20"/>
        </w:rPr>
        <w:t xml:space="preserve"> </w:t>
      </w:r>
      <w:r w:rsidRPr="00BC3402">
        <w:rPr>
          <w:rFonts w:ascii="Calibri" w:hAnsi="Calibri" w:cs="Calibri"/>
          <w:sz w:val="20"/>
          <w:szCs w:val="20"/>
        </w:rPr>
        <w:t>se všemi dostupnými klinickými a laboratorními údaji. Pokud výsledky testů PSA nesouhlasí s klinickým hodnocením, měly by být provedeny další testy.</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3. Falešně pozitivní výsledky mohou pocházet z křížových reakcí s některými podobnými</w:t>
      </w:r>
      <w:r>
        <w:rPr>
          <w:rFonts w:ascii="Calibri" w:hAnsi="Calibri" w:cs="Calibri"/>
          <w:sz w:val="20"/>
          <w:szCs w:val="20"/>
        </w:rPr>
        <w:t xml:space="preserve"> </w:t>
      </w:r>
      <w:r w:rsidRPr="00BC3402">
        <w:rPr>
          <w:rFonts w:ascii="Calibri" w:hAnsi="Calibri" w:cs="Calibri"/>
          <w:sz w:val="20"/>
          <w:szCs w:val="20"/>
        </w:rPr>
        <w:t>protilátk</w:t>
      </w:r>
      <w:r>
        <w:rPr>
          <w:rFonts w:ascii="Calibri" w:hAnsi="Calibri" w:cs="Calibri"/>
          <w:sz w:val="20"/>
          <w:szCs w:val="20"/>
        </w:rPr>
        <w:t>ami</w:t>
      </w:r>
      <w:r w:rsidRPr="00BC3402">
        <w:rPr>
          <w:rFonts w:ascii="Calibri" w:hAnsi="Calibri" w:cs="Calibri"/>
          <w:sz w:val="20"/>
          <w:szCs w:val="20"/>
        </w:rPr>
        <w:t xml:space="preserve"> v krvi; a podobné epitopy z nespecifických složek v</w:t>
      </w:r>
      <w:r>
        <w:rPr>
          <w:rFonts w:ascii="Calibri" w:hAnsi="Calibri" w:cs="Calibri"/>
          <w:sz w:val="20"/>
          <w:szCs w:val="20"/>
        </w:rPr>
        <w:t xml:space="preserve"> </w:t>
      </w:r>
      <w:proofErr w:type="spellStart"/>
      <w:r w:rsidRPr="00BC3402">
        <w:rPr>
          <w:rFonts w:ascii="Calibri" w:hAnsi="Calibri" w:cs="Calibri"/>
          <w:sz w:val="20"/>
          <w:szCs w:val="20"/>
        </w:rPr>
        <w:t>krev</w:t>
      </w:r>
      <w:r>
        <w:rPr>
          <w:rFonts w:ascii="Calibri" w:hAnsi="Calibri" w:cs="Calibri"/>
          <w:sz w:val="20"/>
          <w:szCs w:val="20"/>
        </w:rPr>
        <w:t>i</w:t>
      </w:r>
      <w:proofErr w:type="spellEnd"/>
      <w:r w:rsidRPr="00BC3402">
        <w:rPr>
          <w:rFonts w:ascii="Calibri" w:hAnsi="Calibri" w:cs="Calibri"/>
          <w:sz w:val="20"/>
          <w:szCs w:val="20"/>
        </w:rPr>
        <w:t xml:space="preserve"> zachycující fluorescenčně značené protilátky.</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lastRenderedPageBreak/>
        <w:t>4. Falešné negativní výsledky mohou být způsobeny epitopem neznámé látky</w:t>
      </w:r>
      <w:r>
        <w:rPr>
          <w:rFonts w:ascii="Calibri" w:hAnsi="Calibri" w:cs="Calibri"/>
          <w:sz w:val="20"/>
          <w:szCs w:val="20"/>
        </w:rPr>
        <w:t xml:space="preserve"> </w:t>
      </w:r>
      <w:r w:rsidRPr="00BC3402">
        <w:rPr>
          <w:rFonts w:ascii="Calibri" w:hAnsi="Calibri" w:cs="Calibri"/>
          <w:sz w:val="20"/>
          <w:szCs w:val="20"/>
        </w:rPr>
        <w:t>přilnavé protilátky, nestabilní nebo degenerovaná PSA, které nelze identifikovat kvůli prodlouženému času a teplotě a skladovacím podmínkám vzorku a činidla.</w:t>
      </w:r>
    </w:p>
    <w:p w:rsidR="00BC3402" w:rsidRDefault="00BC3402" w:rsidP="00BC3402">
      <w:pPr>
        <w:pStyle w:val="Normlnweb"/>
        <w:rPr>
          <w:rFonts w:ascii="Calibri" w:hAnsi="Calibri" w:cs="Calibri"/>
          <w:sz w:val="20"/>
          <w:szCs w:val="20"/>
        </w:rPr>
      </w:pPr>
      <w:r w:rsidRPr="00BC3402">
        <w:rPr>
          <w:rFonts w:ascii="Calibri" w:hAnsi="Calibri" w:cs="Calibri"/>
          <w:sz w:val="20"/>
          <w:szCs w:val="20"/>
        </w:rPr>
        <w:t xml:space="preserve">5. Další faktory mohou interferovat s rychlým kvantitativním testem </w:t>
      </w:r>
      <w:proofErr w:type="spellStart"/>
      <w:r w:rsidRPr="00BC3402">
        <w:rPr>
          <w:rFonts w:ascii="Calibri" w:hAnsi="Calibri" w:cs="Calibri"/>
          <w:sz w:val="20"/>
          <w:szCs w:val="20"/>
        </w:rPr>
        <w:t>Finecare</w:t>
      </w:r>
      <w:proofErr w:type="spellEnd"/>
      <w:r w:rsidRPr="00BC3402">
        <w:rPr>
          <w:rFonts w:ascii="Calibri" w:hAnsi="Calibri" w:cs="Calibri"/>
          <w:sz w:val="20"/>
          <w:szCs w:val="20"/>
        </w:rPr>
        <w:t xml:space="preserve"> ™ PSA a mohou způsobit chybné výsledky. Patří sem technické nebo procedurální chyby a další látky ve vzorcích krve.</w:t>
      </w:r>
    </w:p>
    <w:p w:rsidR="00BC3402" w:rsidRPr="00BC3402" w:rsidRDefault="00BC3402" w:rsidP="00BC3402">
      <w:pPr>
        <w:pStyle w:val="Normlnweb"/>
        <w:rPr>
          <w:rFonts w:ascii="Calibri" w:hAnsi="Calibri" w:cs="Calibri"/>
          <w:b/>
          <w:bCs/>
          <w:sz w:val="20"/>
          <w:szCs w:val="20"/>
        </w:rPr>
      </w:pPr>
      <w:r w:rsidRPr="00BC3402">
        <w:rPr>
          <w:rFonts w:ascii="Calibri" w:hAnsi="Calibri" w:cs="Calibri"/>
          <w:b/>
          <w:bCs/>
          <w:sz w:val="20"/>
          <w:szCs w:val="20"/>
        </w:rPr>
        <w:t>Rozsah testu a detekční limit</w:t>
      </w:r>
    </w:p>
    <w:p w:rsidR="00BC3402" w:rsidRPr="00BC3402" w:rsidRDefault="00BC3402" w:rsidP="00BC3402">
      <w:pPr>
        <w:pStyle w:val="Normlnweb"/>
        <w:rPr>
          <w:rFonts w:ascii="Calibri" w:hAnsi="Calibri" w:cs="Calibri"/>
          <w:sz w:val="20"/>
          <w:szCs w:val="20"/>
        </w:rPr>
      </w:pPr>
      <w:r w:rsidRPr="00BC3402">
        <w:rPr>
          <w:rFonts w:ascii="Calibri" w:hAnsi="Calibri" w:cs="Calibri"/>
          <w:sz w:val="20"/>
          <w:szCs w:val="20"/>
        </w:rPr>
        <w:t xml:space="preserve">• Rozsah testu: 2 ~ 100 </w:t>
      </w:r>
      <w:proofErr w:type="spellStart"/>
      <w:r w:rsidRPr="00BC3402">
        <w:rPr>
          <w:rFonts w:ascii="Calibri" w:hAnsi="Calibri" w:cs="Calibri"/>
          <w:sz w:val="20"/>
          <w:szCs w:val="20"/>
        </w:rPr>
        <w:t>ng</w:t>
      </w:r>
      <w:proofErr w:type="spellEnd"/>
      <w:r w:rsidRPr="00BC3402">
        <w:rPr>
          <w:rFonts w:ascii="Calibri" w:hAnsi="Calibri" w:cs="Calibri"/>
          <w:sz w:val="20"/>
          <w:szCs w:val="20"/>
        </w:rPr>
        <w:t xml:space="preserve"> / ml • Detekční limit: 2ng / </w:t>
      </w:r>
      <w:proofErr w:type="spellStart"/>
      <w:r w:rsidRPr="00BC3402">
        <w:rPr>
          <w:rFonts w:ascii="Calibri" w:hAnsi="Calibri" w:cs="Calibri"/>
          <w:sz w:val="20"/>
          <w:szCs w:val="20"/>
        </w:rPr>
        <w:t>mL</w:t>
      </w:r>
      <w:proofErr w:type="spellEnd"/>
    </w:p>
    <w:p w:rsidR="00BC3402" w:rsidRPr="00BC3402" w:rsidRDefault="00BC3402" w:rsidP="00BB24C1">
      <w:pPr>
        <w:pStyle w:val="Normlnweb"/>
        <w:rPr>
          <w:rFonts w:ascii="Calibri" w:hAnsi="Calibri" w:cs="Calibri"/>
          <w:b/>
          <w:bCs/>
          <w:sz w:val="20"/>
          <w:szCs w:val="20"/>
        </w:rPr>
      </w:pPr>
      <w:r w:rsidRPr="00BB24C1">
        <w:rPr>
          <w:rFonts w:ascii="Calibri" w:hAnsi="Calibri" w:cs="Calibri"/>
          <w:b/>
          <w:bCs/>
          <w:sz w:val="20"/>
          <w:szCs w:val="20"/>
        </w:rPr>
        <w:t>Přesnost</w:t>
      </w:r>
    </w:p>
    <w:p w:rsidR="00BC3402" w:rsidRDefault="00BC3402" w:rsidP="00BB24C1">
      <w:pPr>
        <w:pStyle w:val="Normlnweb"/>
        <w:rPr>
          <w:rFonts w:ascii="Calibri" w:hAnsi="Calibri" w:cs="Calibri"/>
          <w:sz w:val="20"/>
          <w:szCs w:val="20"/>
        </w:rPr>
      </w:pPr>
      <w:r w:rsidRPr="00BC3402">
        <w:rPr>
          <w:rFonts w:ascii="Calibri" w:hAnsi="Calibri" w:cs="Calibri"/>
          <w:sz w:val="20"/>
          <w:szCs w:val="20"/>
        </w:rPr>
        <w:t xml:space="preserve">Testovací </w:t>
      </w:r>
      <w:r>
        <w:rPr>
          <w:rFonts w:ascii="Calibri" w:hAnsi="Calibri" w:cs="Calibri"/>
          <w:sz w:val="20"/>
          <w:szCs w:val="20"/>
        </w:rPr>
        <w:t>kazety</w:t>
      </w:r>
      <w:r w:rsidRPr="00BC3402">
        <w:rPr>
          <w:rFonts w:ascii="Calibri" w:hAnsi="Calibri" w:cs="Calibri"/>
          <w:sz w:val="20"/>
          <w:szCs w:val="20"/>
        </w:rPr>
        <w:t xml:space="preserve"> ze stejné šarže byly testovány s PSA kontrolou 5ng / </w:t>
      </w:r>
      <w:proofErr w:type="spellStart"/>
      <w:r w:rsidRPr="00BC3402">
        <w:rPr>
          <w:rFonts w:ascii="Calibri" w:hAnsi="Calibri" w:cs="Calibri"/>
          <w:sz w:val="20"/>
          <w:szCs w:val="20"/>
        </w:rPr>
        <w:t>mL</w:t>
      </w:r>
      <w:proofErr w:type="spellEnd"/>
      <w:r w:rsidRPr="00BC3402">
        <w:rPr>
          <w:rFonts w:ascii="Calibri" w:hAnsi="Calibri" w:cs="Calibri"/>
          <w:sz w:val="20"/>
          <w:szCs w:val="20"/>
        </w:rPr>
        <w:t xml:space="preserve">, 10ng / </w:t>
      </w:r>
      <w:proofErr w:type="spellStart"/>
      <w:r w:rsidRPr="00BC3402">
        <w:rPr>
          <w:rFonts w:ascii="Calibri" w:hAnsi="Calibri" w:cs="Calibri"/>
          <w:sz w:val="20"/>
          <w:szCs w:val="20"/>
        </w:rPr>
        <w:t>mL</w:t>
      </w:r>
      <w:proofErr w:type="spellEnd"/>
      <w:r w:rsidRPr="00BC3402">
        <w:rPr>
          <w:rFonts w:ascii="Calibri" w:hAnsi="Calibri" w:cs="Calibri"/>
          <w:sz w:val="20"/>
          <w:szCs w:val="20"/>
        </w:rPr>
        <w:t xml:space="preserve"> a 20ng / </w:t>
      </w:r>
      <w:proofErr w:type="spellStart"/>
      <w:r w:rsidRPr="00BC3402">
        <w:rPr>
          <w:rFonts w:ascii="Calibri" w:hAnsi="Calibri" w:cs="Calibri"/>
          <w:sz w:val="20"/>
          <w:szCs w:val="20"/>
        </w:rPr>
        <w:t>mL</w:t>
      </w:r>
      <w:proofErr w:type="spellEnd"/>
      <w:r w:rsidRPr="00BC3402">
        <w:rPr>
          <w:rFonts w:ascii="Calibri" w:hAnsi="Calibri" w:cs="Calibri"/>
          <w:sz w:val="20"/>
          <w:szCs w:val="20"/>
        </w:rPr>
        <w:t xml:space="preserve">, byl vypočten průměr a </w:t>
      </w:r>
      <w:proofErr w:type="spellStart"/>
      <w:r w:rsidRPr="00BC3402">
        <w:rPr>
          <w:rFonts w:ascii="Calibri" w:hAnsi="Calibri" w:cs="Calibri"/>
          <w:sz w:val="20"/>
          <w:szCs w:val="20"/>
        </w:rPr>
        <w:t>Bias</w:t>
      </w:r>
      <w:proofErr w:type="spellEnd"/>
      <w:r w:rsidRPr="00BC3402">
        <w:rPr>
          <w:rFonts w:ascii="Calibri" w:hAnsi="Calibri" w:cs="Calibri"/>
          <w:sz w:val="20"/>
          <w:szCs w:val="20"/>
        </w:rPr>
        <w:t xml:space="preserve">%, </w:t>
      </w:r>
      <w:proofErr w:type="spellStart"/>
      <w:r w:rsidRPr="00BC3402">
        <w:rPr>
          <w:rFonts w:ascii="Calibri" w:hAnsi="Calibri" w:cs="Calibri"/>
          <w:sz w:val="20"/>
          <w:szCs w:val="20"/>
        </w:rPr>
        <w:t>Bias</w:t>
      </w:r>
      <w:proofErr w:type="spellEnd"/>
      <w:r w:rsidRPr="00BC3402">
        <w:rPr>
          <w:rFonts w:ascii="Calibri" w:hAnsi="Calibri" w:cs="Calibri"/>
          <w:sz w:val="20"/>
          <w:szCs w:val="20"/>
        </w:rPr>
        <w:t>% byl do 15%.</w:t>
      </w:r>
    </w:p>
    <w:p w:rsidR="00BB24C1" w:rsidRPr="00BB24C1" w:rsidRDefault="00BB24C1" w:rsidP="00BB24C1">
      <w:pPr>
        <w:pStyle w:val="Normlnweb"/>
        <w:rPr>
          <w:rFonts w:ascii="Calibri" w:hAnsi="Calibri" w:cs="Calibri"/>
          <w:b/>
          <w:bCs/>
          <w:sz w:val="20"/>
          <w:szCs w:val="20"/>
        </w:rPr>
      </w:pPr>
      <w:r w:rsidRPr="00BB24C1">
        <w:rPr>
          <w:rFonts w:ascii="Calibri" w:hAnsi="Calibri" w:cs="Calibri"/>
          <w:b/>
          <w:bCs/>
          <w:sz w:val="20"/>
          <w:szCs w:val="20"/>
        </w:rPr>
        <w:t>Linearita</w:t>
      </w:r>
    </w:p>
    <w:p w:rsidR="00BC3402" w:rsidRDefault="00BC3402" w:rsidP="00BB24C1">
      <w:pPr>
        <w:pStyle w:val="Normlnweb"/>
        <w:rPr>
          <w:rFonts w:ascii="Calibri" w:hAnsi="Calibri" w:cs="Calibri"/>
          <w:sz w:val="20"/>
          <w:szCs w:val="20"/>
        </w:rPr>
      </w:pPr>
      <w:r w:rsidRPr="00BC3402">
        <w:rPr>
          <w:rFonts w:ascii="Calibri" w:hAnsi="Calibri" w:cs="Calibri"/>
          <w:sz w:val="20"/>
          <w:szCs w:val="20"/>
        </w:rPr>
        <w:t>Byla testována sérová koncentrace PSA kontrol při 5ng / ml, 10ng / ml, 15ng / ml, 20.0ng / ml, 30.0ng / ml, 40.0ng / ml, korelační koeficient (R) je ≥ 0,99</w:t>
      </w:r>
    </w:p>
    <w:p w:rsidR="00BB24C1" w:rsidRPr="00BB24C1" w:rsidRDefault="00BB24C1" w:rsidP="00BB24C1">
      <w:pPr>
        <w:pStyle w:val="Normlnweb"/>
        <w:rPr>
          <w:rFonts w:ascii="Calibri" w:hAnsi="Calibri" w:cs="Calibri"/>
          <w:b/>
          <w:bCs/>
          <w:sz w:val="20"/>
          <w:szCs w:val="20"/>
        </w:rPr>
      </w:pPr>
      <w:r w:rsidRPr="00BB24C1">
        <w:rPr>
          <w:rFonts w:ascii="Calibri" w:hAnsi="Calibri" w:cs="Calibri"/>
          <w:b/>
          <w:bCs/>
          <w:sz w:val="20"/>
          <w:szCs w:val="20"/>
        </w:rPr>
        <w:t>Přesnost v rámci šarže</w:t>
      </w:r>
    </w:p>
    <w:p w:rsidR="00BC3402" w:rsidRDefault="00BC3402" w:rsidP="00BB24C1">
      <w:pPr>
        <w:pStyle w:val="Normlnweb"/>
        <w:rPr>
          <w:rFonts w:ascii="Calibri" w:hAnsi="Calibri" w:cs="Calibri"/>
          <w:sz w:val="20"/>
          <w:szCs w:val="20"/>
        </w:rPr>
      </w:pPr>
      <w:r w:rsidRPr="00BC3402">
        <w:rPr>
          <w:rFonts w:ascii="Calibri" w:hAnsi="Calibri" w:cs="Calibri"/>
          <w:sz w:val="20"/>
          <w:szCs w:val="20"/>
        </w:rPr>
        <w:t xml:space="preserve">Přesnost v rámci cyklu byla stanovena pomocí 10 </w:t>
      </w:r>
      <w:proofErr w:type="spellStart"/>
      <w:r w:rsidRPr="00BC3402">
        <w:rPr>
          <w:rFonts w:ascii="Calibri" w:hAnsi="Calibri" w:cs="Calibri"/>
          <w:sz w:val="20"/>
          <w:szCs w:val="20"/>
        </w:rPr>
        <w:t>replikátů</w:t>
      </w:r>
      <w:proofErr w:type="spellEnd"/>
      <w:r w:rsidRPr="00BC3402">
        <w:rPr>
          <w:rFonts w:ascii="Calibri" w:hAnsi="Calibri" w:cs="Calibri"/>
          <w:sz w:val="20"/>
          <w:szCs w:val="20"/>
        </w:rPr>
        <w:t xml:space="preserve"> ze stejné šarže pro testování s kontrolou PSA s koncentrací 5,0 </w:t>
      </w:r>
      <w:proofErr w:type="spellStart"/>
      <w:r w:rsidRPr="00BC3402">
        <w:rPr>
          <w:rFonts w:ascii="Calibri" w:hAnsi="Calibri" w:cs="Calibri"/>
          <w:sz w:val="20"/>
          <w:szCs w:val="20"/>
        </w:rPr>
        <w:t>ng</w:t>
      </w:r>
      <w:proofErr w:type="spellEnd"/>
      <w:r w:rsidRPr="00BC3402">
        <w:rPr>
          <w:rFonts w:ascii="Calibri" w:hAnsi="Calibri" w:cs="Calibri"/>
          <w:sz w:val="20"/>
          <w:szCs w:val="20"/>
        </w:rPr>
        <w:t xml:space="preserve"> / ml. </w:t>
      </w:r>
      <w:r>
        <w:rPr>
          <w:rFonts w:ascii="Calibri" w:hAnsi="Calibri" w:cs="Calibri"/>
          <w:sz w:val="20"/>
          <w:szCs w:val="20"/>
        </w:rPr>
        <w:t>C.V</w:t>
      </w:r>
      <w:r w:rsidRPr="00BC3402">
        <w:rPr>
          <w:rFonts w:ascii="Calibri" w:hAnsi="Calibri" w:cs="Calibri"/>
          <w:sz w:val="20"/>
          <w:szCs w:val="20"/>
        </w:rPr>
        <w:t>. je &lt;15%.</w:t>
      </w:r>
    </w:p>
    <w:p w:rsidR="00BB24C1" w:rsidRPr="00BB24C1" w:rsidRDefault="00BB24C1" w:rsidP="00BB24C1">
      <w:pPr>
        <w:pStyle w:val="Normlnweb"/>
        <w:rPr>
          <w:rFonts w:ascii="Calibri" w:hAnsi="Calibri" w:cs="Calibri"/>
          <w:b/>
          <w:bCs/>
          <w:sz w:val="20"/>
          <w:szCs w:val="20"/>
        </w:rPr>
      </w:pPr>
      <w:r w:rsidRPr="00BB24C1">
        <w:rPr>
          <w:rFonts w:ascii="Calibri" w:hAnsi="Calibri" w:cs="Calibri"/>
          <w:b/>
          <w:bCs/>
          <w:sz w:val="20"/>
          <w:szCs w:val="20"/>
        </w:rPr>
        <w:t>Přesnost mezi jednotlivými šaržemi</w:t>
      </w:r>
    </w:p>
    <w:p w:rsidR="00BC3402" w:rsidRDefault="00BC3402" w:rsidP="00BB24C1">
      <w:pPr>
        <w:pStyle w:val="Normlnweb"/>
        <w:rPr>
          <w:rFonts w:ascii="Calibri" w:hAnsi="Calibri" w:cs="Calibri"/>
          <w:sz w:val="20"/>
          <w:szCs w:val="20"/>
        </w:rPr>
      </w:pPr>
      <w:r w:rsidRPr="00BC3402">
        <w:rPr>
          <w:rFonts w:ascii="Calibri" w:hAnsi="Calibri" w:cs="Calibri"/>
          <w:sz w:val="20"/>
          <w:szCs w:val="20"/>
        </w:rPr>
        <w:t xml:space="preserve">Přesnost mezi jednotlivými cykly byla stanovena pomocí 3 </w:t>
      </w:r>
      <w:proofErr w:type="spellStart"/>
      <w:r w:rsidRPr="00BC3402">
        <w:rPr>
          <w:rFonts w:ascii="Calibri" w:hAnsi="Calibri" w:cs="Calibri"/>
          <w:sz w:val="20"/>
          <w:szCs w:val="20"/>
        </w:rPr>
        <w:t>replikátů</w:t>
      </w:r>
      <w:proofErr w:type="spellEnd"/>
      <w:r w:rsidRPr="00BC3402">
        <w:rPr>
          <w:rFonts w:ascii="Calibri" w:hAnsi="Calibri" w:cs="Calibri"/>
          <w:sz w:val="20"/>
          <w:szCs w:val="20"/>
        </w:rPr>
        <w:t xml:space="preserve"> z náhodných 3 kontinuálních šarží pro testování s 5,0 </w:t>
      </w:r>
      <w:proofErr w:type="spellStart"/>
      <w:r w:rsidRPr="00BC3402">
        <w:rPr>
          <w:rFonts w:ascii="Calibri" w:hAnsi="Calibri" w:cs="Calibri"/>
          <w:sz w:val="20"/>
          <w:szCs w:val="20"/>
        </w:rPr>
        <w:t>ng</w:t>
      </w:r>
      <w:proofErr w:type="spellEnd"/>
      <w:r w:rsidRPr="00BC3402">
        <w:rPr>
          <w:rFonts w:ascii="Calibri" w:hAnsi="Calibri" w:cs="Calibri"/>
          <w:sz w:val="20"/>
          <w:szCs w:val="20"/>
        </w:rPr>
        <w:t xml:space="preserve"> / ml PSA kontroly. </w:t>
      </w:r>
      <w:r>
        <w:rPr>
          <w:rFonts w:ascii="Calibri" w:hAnsi="Calibri" w:cs="Calibri"/>
          <w:sz w:val="20"/>
          <w:szCs w:val="20"/>
        </w:rPr>
        <w:t>C</w:t>
      </w:r>
      <w:r w:rsidRPr="00BC3402">
        <w:rPr>
          <w:rFonts w:ascii="Calibri" w:hAnsi="Calibri" w:cs="Calibri"/>
          <w:sz w:val="20"/>
          <w:szCs w:val="20"/>
        </w:rPr>
        <w:t>.</w:t>
      </w:r>
      <w:r>
        <w:rPr>
          <w:rFonts w:ascii="Calibri" w:hAnsi="Calibri" w:cs="Calibri"/>
          <w:sz w:val="20"/>
          <w:szCs w:val="20"/>
        </w:rPr>
        <w:t>V</w:t>
      </w:r>
      <w:r w:rsidRPr="00BC3402">
        <w:rPr>
          <w:rFonts w:ascii="Calibri" w:hAnsi="Calibri" w:cs="Calibri"/>
          <w:sz w:val="20"/>
          <w:szCs w:val="20"/>
        </w:rPr>
        <w:t xml:space="preserve"> je &lt;15%.</w:t>
      </w:r>
    </w:p>
    <w:p w:rsidR="00BB24C1" w:rsidRDefault="00BB24C1" w:rsidP="00BB24C1">
      <w:pPr>
        <w:pStyle w:val="Normlnweb"/>
        <w:rPr>
          <w:rFonts w:ascii="Calibri" w:hAnsi="Calibri" w:cs="Calibri"/>
          <w:b/>
          <w:bCs/>
          <w:sz w:val="20"/>
          <w:szCs w:val="20"/>
        </w:rPr>
      </w:pPr>
      <w:r w:rsidRPr="00BB24C1">
        <w:rPr>
          <w:rFonts w:ascii="Calibri" w:hAnsi="Calibri" w:cs="Calibri"/>
          <w:b/>
          <w:bCs/>
          <w:sz w:val="20"/>
          <w:szCs w:val="20"/>
        </w:rPr>
        <w:t>Literatura</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1. </w:t>
      </w:r>
      <w:proofErr w:type="spellStart"/>
      <w:r w:rsidRPr="00035316">
        <w:rPr>
          <w:rFonts w:ascii="Calibri" w:hAnsi="Calibri" w:cs="Calibri"/>
          <w:sz w:val="20"/>
          <w:szCs w:val="20"/>
        </w:rPr>
        <w:t>Brooks</w:t>
      </w:r>
      <w:proofErr w:type="spellEnd"/>
      <w:r w:rsidRPr="00035316">
        <w:rPr>
          <w:rFonts w:ascii="Calibri" w:hAnsi="Calibri" w:cs="Calibri"/>
          <w:sz w:val="20"/>
          <w:szCs w:val="20"/>
        </w:rPr>
        <w:t xml:space="preserve"> DE, </w:t>
      </w:r>
      <w:proofErr w:type="spellStart"/>
      <w:r w:rsidRPr="00035316">
        <w:rPr>
          <w:rFonts w:ascii="Calibri" w:hAnsi="Calibri" w:cs="Calibri"/>
          <w:sz w:val="20"/>
          <w:szCs w:val="20"/>
        </w:rPr>
        <w:t>Devine</w:t>
      </w:r>
      <w:proofErr w:type="spellEnd"/>
      <w:r w:rsidRPr="00035316">
        <w:rPr>
          <w:rFonts w:ascii="Calibri" w:hAnsi="Calibri" w:cs="Calibri"/>
          <w:sz w:val="20"/>
          <w:szCs w:val="20"/>
        </w:rPr>
        <w:t xml:space="preserve"> DV, </w:t>
      </w:r>
      <w:proofErr w:type="spellStart"/>
      <w:r w:rsidRPr="00035316">
        <w:rPr>
          <w:rFonts w:ascii="Calibri" w:hAnsi="Calibri" w:cs="Calibri"/>
          <w:sz w:val="20"/>
          <w:szCs w:val="20"/>
        </w:rPr>
        <w:t>Harris</w:t>
      </w:r>
      <w:proofErr w:type="spellEnd"/>
      <w:r w:rsidRPr="00035316">
        <w:rPr>
          <w:rFonts w:ascii="Calibri" w:hAnsi="Calibri" w:cs="Calibri"/>
          <w:sz w:val="20"/>
          <w:szCs w:val="20"/>
        </w:rPr>
        <w:t xml:space="preserve"> PC, et al. RAMP(TM): A rapid, </w:t>
      </w:r>
      <w:proofErr w:type="spellStart"/>
      <w:r w:rsidRPr="00035316">
        <w:rPr>
          <w:rFonts w:ascii="Calibri" w:hAnsi="Calibri" w:cs="Calibri"/>
          <w:sz w:val="20"/>
          <w:szCs w:val="20"/>
        </w:rPr>
        <w:t>quantitative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whole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blood</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immunochromatographic</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platform</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for</w:t>
      </w:r>
      <w:proofErr w:type="spellEnd"/>
      <w:r w:rsidRPr="00035316">
        <w:rPr>
          <w:rFonts w:ascii="Calibri" w:hAnsi="Calibri" w:cs="Calibri"/>
          <w:sz w:val="20"/>
          <w:szCs w:val="20"/>
        </w:rPr>
        <w:t xml:space="preserve"> point-</w:t>
      </w:r>
      <w:proofErr w:type="spellStart"/>
      <w:r w:rsidRPr="00035316">
        <w:rPr>
          <w:rFonts w:ascii="Calibri" w:hAnsi="Calibri" w:cs="Calibri"/>
          <w:sz w:val="20"/>
          <w:szCs w:val="20"/>
        </w:rPr>
        <w:t>of</w:t>
      </w:r>
      <w:proofErr w:type="spellEnd"/>
      <w:r w:rsidRPr="00035316">
        <w:rPr>
          <w:rFonts w:ascii="Calibri" w:hAnsi="Calibri" w:cs="Calibri"/>
          <w:sz w:val="20"/>
          <w:szCs w:val="20"/>
        </w:rPr>
        <w:t xml:space="preserve">-care </w:t>
      </w:r>
      <w:proofErr w:type="spellStart"/>
      <w:r w:rsidRPr="00035316">
        <w:rPr>
          <w:rFonts w:ascii="Calibri" w:hAnsi="Calibri" w:cs="Calibri"/>
          <w:sz w:val="20"/>
          <w:szCs w:val="20"/>
        </w:rPr>
        <w:t>testing</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Clin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Chem</w:t>
      </w:r>
      <w:proofErr w:type="spellEnd"/>
      <w:r w:rsidRPr="00035316">
        <w:rPr>
          <w:rFonts w:ascii="Calibri" w:hAnsi="Calibri" w:cs="Calibri"/>
          <w:sz w:val="20"/>
          <w:szCs w:val="20"/>
        </w:rPr>
        <w:t>. 1999; 45: 1676-1678.</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2. Jung K, </w:t>
      </w:r>
      <w:proofErr w:type="spellStart"/>
      <w:r w:rsidRPr="00035316">
        <w:rPr>
          <w:rFonts w:ascii="Calibri" w:hAnsi="Calibri" w:cs="Calibri"/>
          <w:sz w:val="20"/>
          <w:szCs w:val="20"/>
        </w:rPr>
        <w:t>Elgeti</w:t>
      </w:r>
      <w:proofErr w:type="spellEnd"/>
      <w:r w:rsidRPr="00035316">
        <w:rPr>
          <w:rFonts w:ascii="Calibri" w:hAnsi="Calibri" w:cs="Calibri"/>
          <w:sz w:val="20"/>
          <w:szCs w:val="20"/>
        </w:rPr>
        <w:t xml:space="preserve"> U, </w:t>
      </w:r>
      <w:proofErr w:type="spellStart"/>
      <w:r w:rsidRPr="00035316">
        <w:rPr>
          <w:rFonts w:ascii="Calibri" w:hAnsi="Calibri" w:cs="Calibri"/>
          <w:sz w:val="20"/>
          <w:szCs w:val="20"/>
        </w:rPr>
        <w:t>Lein</w:t>
      </w:r>
      <w:proofErr w:type="spellEnd"/>
      <w:r w:rsidRPr="00035316">
        <w:rPr>
          <w:rFonts w:ascii="Calibri" w:hAnsi="Calibri" w:cs="Calibri"/>
          <w:sz w:val="20"/>
          <w:szCs w:val="20"/>
        </w:rPr>
        <w:t xml:space="preserve"> M, et al. Ratio </w:t>
      </w:r>
      <w:proofErr w:type="spellStart"/>
      <w:r w:rsidRPr="00035316">
        <w:rPr>
          <w:rFonts w:ascii="Calibri" w:hAnsi="Calibri" w:cs="Calibri"/>
          <w:sz w:val="20"/>
          <w:szCs w:val="20"/>
        </w:rPr>
        <w:t>of</w:t>
      </w:r>
      <w:proofErr w:type="spellEnd"/>
      <w:r w:rsidRPr="00035316">
        <w:rPr>
          <w:rFonts w:ascii="Calibri" w:hAnsi="Calibri" w:cs="Calibri"/>
          <w:sz w:val="20"/>
          <w:szCs w:val="20"/>
        </w:rPr>
        <w:t xml:space="preserve"> Free </w:t>
      </w:r>
      <w:proofErr w:type="spellStart"/>
      <w:r w:rsidRPr="00035316">
        <w:rPr>
          <w:rFonts w:ascii="Calibri" w:hAnsi="Calibri" w:cs="Calibri"/>
          <w:sz w:val="20"/>
          <w:szCs w:val="20"/>
        </w:rPr>
        <w:t>or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Complexed</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Prostate-specific</w:t>
      </w:r>
      <w:proofErr w:type="spellEnd"/>
      <w:r w:rsidRPr="00035316">
        <w:rPr>
          <w:rFonts w:ascii="Calibri" w:hAnsi="Calibri" w:cs="Calibri"/>
          <w:sz w:val="20"/>
          <w:szCs w:val="20"/>
        </w:rPr>
        <w:t xml:space="preserve"> Antigen to </w:t>
      </w:r>
      <w:proofErr w:type="spellStart"/>
      <w:r w:rsidRPr="00035316">
        <w:rPr>
          <w:rFonts w:ascii="Calibri" w:hAnsi="Calibri" w:cs="Calibri"/>
          <w:sz w:val="20"/>
          <w:szCs w:val="20"/>
        </w:rPr>
        <w:t>Total</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PSA:Which</w:t>
      </w:r>
      <w:proofErr w:type="spellEnd"/>
      <w:r w:rsidRPr="00035316">
        <w:rPr>
          <w:rFonts w:ascii="Calibri" w:hAnsi="Calibri" w:cs="Calibri"/>
          <w:sz w:val="20"/>
          <w:szCs w:val="20"/>
        </w:rPr>
        <w:t xml:space="preserve"> Ratio </w:t>
      </w:r>
      <w:proofErr w:type="spellStart"/>
      <w:r w:rsidRPr="00035316">
        <w:rPr>
          <w:rFonts w:ascii="Calibri" w:hAnsi="Calibri" w:cs="Calibri"/>
          <w:sz w:val="20"/>
          <w:szCs w:val="20"/>
        </w:rPr>
        <w:t>Improves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Differentiation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between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Bengin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Prostatic</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Hyperplasia</w:t>
      </w:r>
      <w:proofErr w:type="spellEnd"/>
      <w:r w:rsidRPr="00035316">
        <w:rPr>
          <w:rFonts w:ascii="Calibri" w:hAnsi="Calibri" w:cs="Calibri"/>
          <w:sz w:val="20"/>
          <w:szCs w:val="20"/>
        </w:rPr>
        <w:t xml:space="preserve"> and </w:t>
      </w:r>
      <w:proofErr w:type="spellStart"/>
      <w:r w:rsidRPr="00035316">
        <w:rPr>
          <w:rFonts w:ascii="Calibri" w:hAnsi="Calibri" w:cs="Calibri"/>
          <w:sz w:val="20"/>
          <w:szCs w:val="20"/>
        </w:rPr>
        <w:t>Prostate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Cancer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Clin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Chem</w:t>
      </w:r>
      <w:proofErr w:type="spellEnd"/>
      <w:r w:rsidRPr="00035316">
        <w:rPr>
          <w:rFonts w:ascii="Calibri" w:hAnsi="Calibri" w:cs="Calibri"/>
          <w:sz w:val="20"/>
          <w:szCs w:val="20"/>
        </w:rPr>
        <w:t>. 2000; 46(1):55-62.</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3. </w:t>
      </w:r>
      <w:proofErr w:type="spellStart"/>
      <w:r w:rsidRPr="00035316">
        <w:rPr>
          <w:rFonts w:ascii="Calibri" w:hAnsi="Calibri" w:cs="Calibri"/>
          <w:sz w:val="20"/>
          <w:szCs w:val="20"/>
        </w:rPr>
        <w:t>Allard</w:t>
      </w:r>
      <w:proofErr w:type="spellEnd"/>
      <w:r w:rsidRPr="00035316">
        <w:rPr>
          <w:rFonts w:ascii="Calibri" w:hAnsi="Calibri" w:cs="Calibri"/>
          <w:sz w:val="20"/>
          <w:szCs w:val="20"/>
        </w:rPr>
        <w:t xml:space="preserve"> WJ, </w:t>
      </w:r>
      <w:proofErr w:type="spellStart"/>
      <w:r w:rsidRPr="00035316">
        <w:rPr>
          <w:rFonts w:ascii="Calibri" w:hAnsi="Calibri" w:cs="Calibri"/>
          <w:sz w:val="20"/>
          <w:szCs w:val="20"/>
        </w:rPr>
        <w:t>Zhou</w:t>
      </w:r>
      <w:proofErr w:type="spellEnd"/>
      <w:r w:rsidRPr="00035316">
        <w:rPr>
          <w:rFonts w:ascii="Calibri" w:hAnsi="Calibri" w:cs="Calibri"/>
          <w:sz w:val="20"/>
          <w:szCs w:val="20"/>
        </w:rPr>
        <w:t xml:space="preserve"> Z, </w:t>
      </w:r>
      <w:proofErr w:type="spellStart"/>
      <w:r w:rsidRPr="00035316">
        <w:rPr>
          <w:rFonts w:ascii="Calibri" w:hAnsi="Calibri" w:cs="Calibri"/>
          <w:sz w:val="20"/>
          <w:szCs w:val="20"/>
        </w:rPr>
        <w:t>Yueng</w:t>
      </w:r>
      <w:proofErr w:type="spellEnd"/>
      <w:r w:rsidRPr="00035316">
        <w:rPr>
          <w:rFonts w:ascii="Calibri" w:hAnsi="Calibri" w:cs="Calibri"/>
          <w:sz w:val="20"/>
          <w:szCs w:val="20"/>
        </w:rPr>
        <w:t xml:space="preserve"> KK. Novel </w:t>
      </w:r>
      <w:proofErr w:type="spellStart"/>
      <w:r w:rsidRPr="00035316">
        <w:rPr>
          <w:rFonts w:ascii="Calibri" w:hAnsi="Calibri" w:cs="Calibri"/>
          <w:sz w:val="20"/>
          <w:szCs w:val="20"/>
        </w:rPr>
        <w:t>immunoassay</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for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the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measurement</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of</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complexed</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prostate-specific</w:t>
      </w:r>
      <w:proofErr w:type="spellEnd"/>
      <w:r w:rsidRPr="00035316">
        <w:rPr>
          <w:rFonts w:ascii="Calibri" w:hAnsi="Calibri" w:cs="Calibri"/>
          <w:sz w:val="20"/>
          <w:szCs w:val="20"/>
        </w:rPr>
        <w:t xml:space="preserve"> antigen in </w:t>
      </w:r>
      <w:proofErr w:type="spellStart"/>
      <w:r w:rsidRPr="00035316">
        <w:rPr>
          <w:rFonts w:ascii="Calibri" w:hAnsi="Calibri" w:cs="Calibri"/>
          <w:sz w:val="20"/>
          <w:szCs w:val="20"/>
        </w:rPr>
        <w:t>serum</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Clin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Chem</w:t>
      </w:r>
      <w:proofErr w:type="spellEnd"/>
      <w:r w:rsidRPr="00035316">
        <w:rPr>
          <w:rFonts w:ascii="Calibri" w:hAnsi="Calibri" w:cs="Calibri"/>
          <w:sz w:val="20"/>
          <w:szCs w:val="20"/>
        </w:rPr>
        <w:t>. 1998; 44(6):1216-1223.</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4. Junker R </w:t>
      </w:r>
      <w:proofErr w:type="spellStart"/>
      <w:r w:rsidRPr="00035316">
        <w:rPr>
          <w:rFonts w:ascii="Calibri" w:hAnsi="Calibri" w:cs="Calibri"/>
          <w:sz w:val="20"/>
          <w:szCs w:val="20"/>
        </w:rPr>
        <w:t>Brandt</w:t>
      </w:r>
      <w:proofErr w:type="spellEnd"/>
      <w:r w:rsidRPr="00035316">
        <w:rPr>
          <w:rFonts w:ascii="Calibri" w:hAnsi="Calibri" w:cs="Calibri"/>
          <w:sz w:val="20"/>
          <w:szCs w:val="20"/>
        </w:rPr>
        <w:t xml:space="preserve"> B, </w:t>
      </w:r>
      <w:proofErr w:type="spellStart"/>
      <w:r w:rsidRPr="00035316">
        <w:rPr>
          <w:rFonts w:ascii="Calibri" w:hAnsi="Calibri" w:cs="Calibri"/>
          <w:sz w:val="20"/>
          <w:szCs w:val="20"/>
        </w:rPr>
        <w:t>Zechel</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C,and</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Assmann</w:t>
      </w:r>
      <w:proofErr w:type="spellEnd"/>
      <w:r w:rsidRPr="00035316">
        <w:rPr>
          <w:rFonts w:ascii="Calibri" w:hAnsi="Calibri" w:cs="Calibri"/>
          <w:sz w:val="20"/>
          <w:szCs w:val="20"/>
        </w:rPr>
        <w:t xml:space="preserve"> G. </w:t>
      </w:r>
      <w:proofErr w:type="spellStart"/>
      <w:r w:rsidRPr="00035316">
        <w:rPr>
          <w:rFonts w:ascii="Calibri" w:hAnsi="Calibri" w:cs="Calibri"/>
          <w:sz w:val="20"/>
          <w:szCs w:val="20"/>
        </w:rPr>
        <w:t>Comparison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of</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prostate-specific</w:t>
      </w:r>
      <w:proofErr w:type="spellEnd"/>
      <w:r w:rsidRPr="00035316">
        <w:rPr>
          <w:rFonts w:ascii="Calibri" w:hAnsi="Calibri" w:cs="Calibri"/>
          <w:sz w:val="20"/>
          <w:szCs w:val="20"/>
        </w:rPr>
        <w:t xml:space="preserve"> antigen (PSA) </w:t>
      </w:r>
      <w:proofErr w:type="spellStart"/>
      <w:r w:rsidRPr="00035316">
        <w:rPr>
          <w:rFonts w:ascii="Calibri" w:hAnsi="Calibri" w:cs="Calibri"/>
          <w:sz w:val="20"/>
          <w:szCs w:val="20"/>
        </w:rPr>
        <w:t>measured</w:t>
      </w:r>
      <w:proofErr w:type="spellEnd"/>
      <w:r w:rsidRPr="00035316">
        <w:rPr>
          <w:rFonts w:ascii="Calibri" w:hAnsi="Calibri" w:cs="Calibri"/>
          <w:sz w:val="20"/>
          <w:szCs w:val="20"/>
        </w:rPr>
        <w:t xml:space="preserve"> by </w:t>
      </w:r>
      <w:proofErr w:type="spellStart"/>
      <w:r w:rsidRPr="00035316">
        <w:rPr>
          <w:rFonts w:ascii="Calibri" w:hAnsi="Calibri" w:cs="Calibri"/>
          <w:sz w:val="20"/>
          <w:szCs w:val="20"/>
        </w:rPr>
        <w:t>four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combinations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of</w:t>
      </w:r>
      <w:proofErr w:type="spellEnd"/>
      <w:r w:rsidRPr="00035316">
        <w:rPr>
          <w:rFonts w:ascii="Calibri" w:hAnsi="Calibri" w:cs="Calibri"/>
          <w:sz w:val="20"/>
          <w:szCs w:val="20"/>
        </w:rPr>
        <w:t xml:space="preserve"> free PSA and </w:t>
      </w:r>
      <w:proofErr w:type="spellStart"/>
      <w:r w:rsidRPr="00035316">
        <w:rPr>
          <w:rFonts w:ascii="Calibri" w:hAnsi="Calibri" w:cs="Calibri"/>
          <w:sz w:val="20"/>
          <w:szCs w:val="20"/>
        </w:rPr>
        <w:t>total</w:t>
      </w:r>
      <w:proofErr w:type="spellEnd"/>
      <w:r w:rsidRPr="00035316">
        <w:rPr>
          <w:rFonts w:ascii="Calibri" w:hAnsi="Calibri" w:cs="Calibri"/>
          <w:sz w:val="20"/>
          <w:szCs w:val="20"/>
        </w:rPr>
        <w:t xml:space="preserve"> PSA </w:t>
      </w:r>
      <w:proofErr w:type="spellStart"/>
      <w:r w:rsidRPr="00035316">
        <w:rPr>
          <w:rFonts w:ascii="Calibri" w:hAnsi="Calibri" w:cs="Calibri"/>
          <w:sz w:val="20"/>
          <w:szCs w:val="20"/>
        </w:rPr>
        <w:t>assays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Clin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Chem</w:t>
      </w:r>
      <w:proofErr w:type="spellEnd"/>
      <w:r w:rsidRPr="00035316">
        <w:rPr>
          <w:rFonts w:ascii="Calibri" w:hAnsi="Calibri" w:cs="Calibri"/>
          <w:sz w:val="20"/>
          <w:szCs w:val="20"/>
        </w:rPr>
        <w:t>. 1997; 43(9):1588-1594.</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5. </w:t>
      </w:r>
      <w:proofErr w:type="spellStart"/>
      <w:r w:rsidRPr="00035316">
        <w:rPr>
          <w:rFonts w:ascii="Calibri" w:hAnsi="Calibri" w:cs="Calibri"/>
          <w:sz w:val="20"/>
          <w:szCs w:val="20"/>
        </w:rPr>
        <w:t>Cheli</w:t>
      </w:r>
      <w:proofErr w:type="spellEnd"/>
      <w:r w:rsidRPr="00035316">
        <w:rPr>
          <w:rFonts w:ascii="Calibri" w:hAnsi="Calibri" w:cs="Calibri"/>
          <w:sz w:val="20"/>
          <w:szCs w:val="20"/>
        </w:rPr>
        <w:t xml:space="preserve"> CD, Marcus M, </w:t>
      </w:r>
      <w:proofErr w:type="spellStart"/>
      <w:r w:rsidRPr="00035316">
        <w:rPr>
          <w:rFonts w:ascii="Calibri" w:hAnsi="Calibri" w:cs="Calibri"/>
          <w:sz w:val="20"/>
          <w:szCs w:val="20"/>
        </w:rPr>
        <w:t>Levine</w:t>
      </w:r>
      <w:proofErr w:type="spellEnd"/>
      <w:r w:rsidRPr="00035316">
        <w:rPr>
          <w:rFonts w:ascii="Calibri" w:hAnsi="Calibri" w:cs="Calibri"/>
          <w:sz w:val="20"/>
          <w:szCs w:val="20"/>
        </w:rPr>
        <w:t xml:space="preserve"> J, et al. </w:t>
      </w:r>
      <w:proofErr w:type="spellStart"/>
      <w:r w:rsidRPr="00035316">
        <w:rPr>
          <w:rFonts w:ascii="Calibri" w:hAnsi="Calibri" w:cs="Calibri"/>
          <w:sz w:val="20"/>
          <w:szCs w:val="20"/>
        </w:rPr>
        <w:t>Variation</w:t>
      </w:r>
      <w:proofErr w:type="spellEnd"/>
      <w:r w:rsidRPr="00035316">
        <w:rPr>
          <w:rFonts w:ascii="Calibri" w:hAnsi="Calibri" w:cs="Calibri"/>
          <w:sz w:val="20"/>
          <w:szCs w:val="20"/>
        </w:rPr>
        <w:t xml:space="preserve"> on </w:t>
      </w:r>
      <w:proofErr w:type="spellStart"/>
      <w:r w:rsidRPr="00035316">
        <w:rPr>
          <w:rFonts w:ascii="Calibri" w:hAnsi="Calibri" w:cs="Calibri"/>
          <w:sz w:val="20"/>
          <w:szCs w:val="20"/>
        </w:rPr>
        <w:t>the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Quantitation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of</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Prostate-specific</w:t>
      </w:r>
      <w:proofErr w:type="spellEnd"/>
      <w:r w:rsidRPr="00035316">
        <w:rPr>
          <w:rFonts w:ascii="Calibri" w:hAnsi="Calibri" w:cs="Calibri"/>
          <w:sz w:val="20"/>
          <w:szCs w:val="20"/>
        </w:rPr>
        <w:t xml:space="preserve"> Antigen in Reference </w:t>
      </w:r>
      <w:proofErr w:type="spellStart"/>
      <w:r w:rsidRPr="00035316">
        <w:rPr>
          <w:rFonts w:ascii="Calibri" w:hAnsi="Calibri" w:cs="Calibri"/>
          <w:sz w:val="20"/>
          <w:szCs w:val="20"/>
        </w:rPr>
        <w:t>Material</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Differences</w:t>
      </w:r>
      <w:proofErr w:type="spellEnd"/>
      <w:r w:rsidRPr="00035316">
        <w:rPr>
          <w:rFonts w:ascii="Calibri" w:hAnsi="Calibri" w:cs="Calibri"/>
          <w:sz w:val="20"/>
          <w:szCs w:val="20"/>
        </w:rPr>
        <w:t xml:space="preserve"> in </w:t>
      </w:r>
      <w:proofErr w:type="spellStart"/>
      <w:r w:rsidRPr="00035316">
        <w:rPr>
          <w:rFonts w:ascii="Calibri" w:hAnsi="Calibri" w:cs="Calibri"/>
          <w:sz w:val="20"/>
          <w:szCs w:val="20"/>
        </w:rPr>
        <w:t>Commercial</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Immunoassays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Clin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Chem</w:t>
      </w:r>
      <w:proofErr w:type="spellEnd"/>
      <w:r w:rsidRPr="00035316">
        <w:rPr>
          <w:rFonts w:ascii="Calibri" w:hAnsi="Calibri" w:cs="Calibri"/>
          <w:sz w:val="20"/>
          <w:szCs w:val="20"/>
        </w:rPr>
        <w:t>. 1998; 44: 1551-1553.</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6. Kim BC, </w:t>
      </w:r>
      <w:proofErr w:type="spellStart"/>
      <w:r w:rsidRPr="00035316">
        <w:rPr>
          <w:rFonts w:ascii="Calibri" w:hAnsi="Calibri" w:cs="Calibri"/>
          <w:sz w:val="20"/>
          <w:szCs w:val="20"/>
        </w:rPr>
        <w:t>Jeong</w:t>
      </w:r>
      <w:proofErr w:type="spellEnd"/>
      <w:r w:rsidRPr="00035316">
        <w:rPr>
          <w:rFonts w:ascii="Calibri" w:hAnsi="Calibri" w:cs="Calibri"/>
          <w:sz w:val="20"/>
          <w:szCs w:val="20"/>
        </w:rPr>
        <w:t xml:space="preserve"> JH, </w:t>
      </w:r>
      <w:proofErr w:type="spellStart"/>
      <w:r w:rsidRPr="00035316">
        <w:rPr>
          <w:rFonts w:ascii="Calibri" w:hAnsi="Calibri" w:cs="Calibri"/>
          <w:sz w:val="20"/>
          <w:szCs w:val="20"/>
        </w:rPr>
        <w:t>Jeong</w:t>
      </w:r>
      <w:proofErr w:type="spellEnd"/>
      <w:r w:rsidRPr="00035316">
        <w:rPr>
          <w:rFonts w:ascii="Calibri" w:hAnsi="Calibri" w:cs="Calibri"/>
          <w:sz w:val="20"/>
          <w:szCs w:val="20"/>
        </w:rPr>
        <w:t xml:space="preserve"> DS, </w:t>
      </w:r>
      <w:proofErr w:type="spellStart"/>
      <w:r w:rsidRPr="00035316">
        <w:rPr>
          <w:rFonts w:ascii="Calibri" w:hAnsi="Calibri" w:cs="Calibri"/>
          <w:sz w:val="20"/>
          <w:szCs w:val="20"/>
        </w:rPr>
        <w:t>Choi</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EY,Kim</w:t>
      </w:r>
      <w:proofErr w:type="spellEnd"/>
      <w:r w:rsidRPr="00035316">
        <w:rPr>
          <w:rFonts w:ascii="Calibri" w:hAnsi="Calibri" w:cs="Calibri"/>
          <w:sz w:val="20"/>
          <w:szCs w:val="20"/>
        </w:rPr>
        <w:t xml:space="preserve"> JH, </w:t>
      </w:r>
      <w:proofErr w:type="spellStart"/>
      <w:r w:rsidRPr="00035316">
        <w:rPr>
          <w:rFonts w:ascii="Calibri" w:hAnsi="Calibri" w:cs="Calibri"/>
          <w:sz w:val="20"/>
          <w:szCs w:val="20"/>
        </w:rPr>
        <w:t>Nahm</w:t>
      </w:r>
      <w:proofErr w:type="spellEnd"/>
      <w:r w:rsidRPr="00035316">
        <w:rPr>
          <w:rFonts w:ascii="Calibri" w:hAnsi="Calibri" w:cs="Calibri"/>
          <w:sz w:val="20"/>
          <w:szCs w:val="20"/>
        </w:rPr>
        <w:t xml:space="preserve">, KB. </w:t>
      </w:r>
      <w:proofErr w:type="spellStart"/>
      <w:r w:rsidRPr="00035316">
        <w:rPr>
          <w:rFonts w:ascii="Calibri" w:hAnsi="Calibri" w:cs="Calibri"/>
          <w:sz w:val="20"/>
          <w:szCs w:val="20"/>
        </w:rPr>
        <w:t>Simplified</w:t>
      </w:r>
      <w:proofErr w:type="spellEnd"/>
      <w:r w:rsidRPr="00035316">
        <w:rPr>
          <w:rFonts w:ascii="Calibri" w:hAnsi="Calibri" w:cs="Calibri"/>
          <w:sz w:val="20"/>
          <w:szCs w:val="20"/>
        </w:rPr>
        <w:t xml:space="preserve"> laser fluorescence scanner </w:t>
      </w:r>
      <w:proofErr w:type="spellStart"/>
      <w:r w:rsidRPr="00035316">
        <w:rPr>
          <w:rFonts w:ascii="Calibri" w:hAnsi="Calibri" w:cs="Calibri"/>
          <w:sz w:val="20"/>
          <w:szCs w:val="20"/>
        </w:rPr>
        <w:t>for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proteomics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studies</w:t>
      </w:r>
      <w:proofErr w:type="spellEnd"/>
      <w:r w:rsidRPr="00035316">
        <w:rPr>
          <w:rFonts w:ascii="Calibri" w:hAnsi="Calibri" w:cs="Calibri"/>
          <w:sz w:val="20"/>
          <w:szCs w:val="20"/>
        </w:rPr>
        <w:t xml:space="preserve"> and early </w:t>
      </w:r>
      <w:proofErr w:type="spellStart"/>
      <w:r w:rsidRPr="00035316">
        <w:rPr>
          <w:rFonts w:ascii="Calibri" w:hAnsi="Calibri" w:cs="Calibri"/>
          <w:sz w:val="20"/>
          <w:szCs w:val="20"/>
        </w:rPr>
        <w:t>cancer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diagnosis</w:t>
      </w:r>
      <w:proofErr w:type="spellEnd"/>
      <w:r w:rsidRPr="00035316">
        <w:rPr>
          <w:rFonts w:ascii="Calibri" w:hAnsi="Calibri" w:cs="Calibri"/>
          <w:sz w:val="20"/>
          <w:szCs w:val="20"/>
        </w:rPr>
        <w:t xml:space="preserve">. SPIE </w:t>
      </w:r>
      <w:proofErr w:type="spellStart"/>
      <w:r w:rsidRPr="00035316">
        <w:rPr>
          <w:rFonts w:ascii="Calibri" w:hAnsi="Calibri" w:cs="Calibri"/>
          <w:sz w:val="20"/>
          <w:szCs w:val="20"/>
        </w:rPr>
        <w:t>Proceedings</w:t>
      </w:r>
      <w:proofErr w:type="spellEnd"/>
      <w:r w:rsidRPr="00035316">
        <w:rPr>
          <w:rFonts w:ascii="Calibri" w:hAnsi="Calibri" w:cs="Calibri"/>
          <w:sz w:val="20"/>
          <w:szCs w:val="20"/>
        </w:rPr>
        <w:t xml:space="preserve"> 2002; 4916: 103-108.</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7. </w:t>
      </w:r>
      <w:proofErr w:type="spellStart"/>
      <w:r w:rsidRPr="00035316">
        <w:rPr>
          <w:rFonts w:ascii="Calibri" w:hAnsi="Calibri" w:cs="Calibri"/>
          <w:sz w:val="20"/>
          <w:szCs w:val="20"/>
        </w:rPr>
        <w:t>Woolf</w:t>
      </w:r>
      <w:proofErr w:type="spellEnd"/>
      <w:r w:rsidRPr="00035316">
        <w:rPr>
          <w:rFonts w:ascii="Calibri" w:hAnsi="Calibri" w:cs="Calibri"/>
          <w:sz w:val="20"/>
          <w:szCs w:val="20"/>
        </w:rPr>
        <w:t xml:space="preserve"> SH, </w:t>
      </w:r>
      <w:proofErr w:type="spellStart"/>
      <w:r w:rsidRPr="00035316">
        <w:rPr>
          <w:rFonts w:ascii="Calibri" w:hAnsi="Calibri" w:cs="Calibri"/>
          <w:sz w:val="20"/>
          <w:szCs w:val="20"/>
        </w:rPr>
        <w:t>Rothemich</w:t>
      </w:r>
      <w:proofErr w:type="spellEnd"/>
      <w:r w:rsidRPr="00035316">
        <w:rPr>
          <w:rFonts w:ascii="Calibri" w:hAnsi="Calibri" w:cs="Calibri"/>
          <w:sz w:val="20"/>
          <w:szCs w:val="20"/>
        </w:rPr>
        <w:t xml:space="preserve"> SF. SCREENING FOR PROSTATE CANCER: </w:t>
      </w:r>
      <w:proofErr w:type="spellStart"/>
      <w:r w:rsidRPr="00035316">
        <w:rPr>
          <w:rFonts w:ascii="Calibri" w:hAnsi="Calibri" w:cs="Calibri"/>
          <w:sz w:val="20"/>
          <w:szCs w:val="20"/>
        </w:rPr>
        <w:t>The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Roles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of</w:t>
      </w:r>
      <w:proofErr w:type="spellEnd"/>
      <w:r w:rsidRPr="00035316">
        <w:rPr>
          <w:rFonts w:ascii="Calibri" w:hAnsi="Calibri" w:cs="Calibri"/>
          <w:sz w:val="20"/>
          <w:szCs w:val="20"/>
        </w:rPr>
        <w:t xml:space="preserve"> Science, </w:t>
      </w:r>
      <w:proofErr w:type="spellStart"/>
      <w:r w:rsidRPr="00035316">
        <w:rPr>
          <w:rFonts w:ascii="Calibri" w:hAnsi="Calibri" w:cs="Calibri"/>
          <w:sz w:val="20"/>
          <w:szCs w:val="20"/>
        </w:rPr>
        <w:t>Policy</w:t>
      </w:r>
      <w:proofErr w:type="spellEnd"/>
      <w:r w:rsidRPr="00035316">
        <w:rPr>
          <w:rFonts w:ascii="Calibri" w:hAnsi="Calibri" w:cs="Calibri"/>
          <w:sz w:val="20"/>
          <w:szCs w:val="20"/>
        </w:rPr>
        <w:t xml:space="preserve">, and </w:t>
      </w:r>
      <w:proofErr w:type="spellStart"/>
      <w:r w:rsidRPr="00035316">
        <w:rPr>
          <w:rFonts w:ascii="Calibri" w:hAnsi="Calibri" w:cs="Calibri"/>
          <w:sz w:val="20"/>
          <w:szCs w:val="20"/>
        </w:rPr>
        <w:t>Opinion</w:t>
      </w:r>
      <w:proofErr w:type="spellEnd"/>
      <w:r w:rsidRPr="00035316">
        <w:rPr>
          <w:rFonts w:ascii="Calibri" w:hAnsi="Calibri" w:cs="Calibri"/>
          <w:sz w:val="20"/>
          <w:szCs w:val="20"/>
        </w:rPr>
        <w:t xml:space="preserve"> in </w:t>
      </w:r>
      <w:proofErr w:type="spellStart"/>
      <w:r w:rsidRPr="00035316">
        <w:rPr>
          <w:rFonts w:ascii="Calibri" w:hAnsi="Calibri" w:cs="Calibri"/>
          <w:sz w:val="20"/>
          <w:szCs w:val="20"/>
        </w:rPr>
        <w:t>determining</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what</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is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best</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for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Patients</w:t>
      </w:r>
      <w:proofErr w:type="spellEnd"/>
      <w:r w:rsidRPr="00035316">
        <w:rPr>
          <w:rFonts w:ascii="Calibri" w:hAnsi="Calibri" w:cs="Calibri"/>
          <w:sz w:val="20"/>
          <w:szCs w:val="20"/>
        </w:rPr>
        <w:t xml:space="preserve">. Annu. </w:t>
      </w:r>
      <w:proofErr w:type="spellStart"/>
      <w:r w:rsidRPr="00035316">
        <w:rPr>
          <w:rFonts w:ascii="Calibri" w:hAnsi="Calibri" w:cs="Calibri"/>
          <w:sz w:val="20"/>
          <w:szCs w:val="20"/>
        </w:rPr>
        <w:t>Rev</w:t>
      </w:r>
      <w:proofErr w:type="spellEnd"/>
      <w:r w:rsidRPr="00035316">
        <w:rPr>
          <w:rFonts w:ascii="Calibri" w:hAnsi="Calibri" w:cs="Calibri"/>
          <w:sz w:val="20"/>
          <w:szCs w:val="20"/>
        </w:rPr>
        <w:t>. Med. 1999; 50: 207-521.</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lastRenderedPageBreak/>
        <w:t xml:space="preserve">8. </w:t>
      </w:r>
      <w:proofErr w:type="spellStart"/>
      <w:r w:rsidRPr="00035316">
        <w:rPr>
          <w:rFonts w:ascii="Calibri" w:hAnsi="Calibri" w:cs="Calibri"/>
          <w:sz w:val="20"/>
          <w:szCs w:val="20"/>
        </w:rPr>
        <w:t>Wan</w:t>
      </w:r>
      <w:proofErr w:type="spellEnd"/>
      <w:r w:rsidRPr="00035316">
        <w:rPr>
          <w:rFonts w:ascii="Calibri" w:hAnsi="Calibri" w:cs="Calibri"/>
          <w:sz w:val="20"/>
          <w:szCs w:val="20"/>
        </w:rPr>
        <w:t xml:space="preserve"> XS, </w:t>
      </w:r>
      <w:proofErr w:type="spellStart"/>
      <w:r w:rsidRPr="00035316">
        <w:rPr>
          <w:rFonts w:ascii="Calibri" w:hAnsi="Calibri" w:cs="Calibri"/>
          <w:sz w:val="20"/>
          <w:szCs w:val="20"/>
        </w:rPr>
        <w:t>Xu</w:t>
      </w:r>
      <w:proofErr w:type="spellEnd"/>
      <w:r w:rsidRPr="00035316">
        <w:rPr>
          <w:rFonts w:ascii="Calibri" w:hAnsi="Calibri" w:cs="Calibri"/>
          <w:sz w:val="20"/>
          <w:szCs w:val="20"/>
        </w:rPr>
        <w:t xml:space="preserve"> YA, </w:t>
      </w:r>
      <w:proofErr w:type="spellStart"/>
      <w:r w:rsidRPr="00035316">
        <w:rPr>
          <w:rFonts w:ascii="Calibri" w:hAnsi="Calibri" w:cs="Calibri"/>
          <w:sz w:val="20"/>
          <w:szCs w:val="20"/>
        </w:rPr>
        <w:t>Ware</w:t>
      </w:r>
      <w:proofErr w:type="spellEnd"/>
      <w:r w:rsidRPr="00035316">
        <w:rPr>
          <w:rFonts w:ascii="Calibri" w:hAnsi="Calibri" w:cs="Calibri"/>
          <w:sz w:val="20"/>
          <w:szCs w:val="20"/>
        </w:rPr>
        <w:t xml:space="preserve"> JH, and Kennedy AR. </w:t>
      </w:r>
      <w:proofErr w:type="spellStart"/>
      <w:r w:rsidRPr="00035316">
        <w:rPr>
          <w:rFonts w:ascii="Calibri" w:hAnsi="Calibri" w:cs="Calibri"/>
          <w:sz w:val="20"/>
          <w:szCs w:val="20"/>
        </w:rPr>
        <w:t>Three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immunoassays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based</w:t>
      </w:r>
      <w:proofErr w:type="spellEnd"/>
      <w:r w:rsidRPr="00035316">
        <w:rPr>
          <w:rFonts w:ascii="Calibri" w:hAnsi="Calibri" w:cs="Calibri"/>
          <w:sz w:val="20"/>
          <w:szCs w:val="20"/>
        </w:rPr>
        <w:t xml:space="preserve"> on </w:t>
      </w:r>
      <w:proofErr w:type="spellStart"/>
      <w:r w:rsidRPr="00035316">
        <w:rPr>
          <w:rFonts w:ascii="Calibri" w:hAnsi="Calibri" w:cs="Calibri"/>
          <w:sz w:val="20"/>
          <w:szCs w:val="20"/>
        </w:rPr>
        <w:t>monoclonal</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antibodies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specific</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for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specific</w:t>
      </w:r>
      <w:proofErr w:type="spellEnd"/>
      <w:r w:rsidRPr="00035316">
        <w:rPr>
          <w:rFonts w:ascii="Calibri" w:hAnsi="Calibri" w:cs="Calibri"/>
          <w:sz w:val="20"/>
          <w:szCs w:val="20"/>
        </w:rPr>
        <w:t xml:space="preserve"> antigen (PSA), alpha-1-antichymotrypsin (ACT), and </w:t>
      </w:r>
      <w:proofErr w:type="spellStart"/>
      <w:r w:rsidRPr="00035316">
        <w:rPr>
          <w:rFonts w:ascii="Calibri" w:hAnsi="Calibri" w:cs="Calibri"/>
          <w:sz w:val="20"/>
          <w:szCs w:val="20"/>
        </w:rPr>
        <w:t>the</w:t>
      </w:r>
      <w:proofErr w:type="spellEnd"/>
      <w:r w:rsidRPr="00035316">
        <w:rPr>
          <w:rFonts w:ascii="Calibri" w:hAnsi="Calibri" w:cs="Calibri"/>
          <w:sz w:val="20"/>
          <w:szCs w:val="20"/>
        </w:rPr>
        <w:t xml:space="preserve"> PSA-ACT </w:t>
      </w:r>
      <w:proofErr w:type="spellStart"/>
      <w:r w:rsidRPr="00035316">
        <w:rPr>
          <w:rFonts w:ascii="Calibri" w:hAnsi="Calibri" w:cs="Calibri"/>
          <w:sz w:val="20"/>
          <w:szCs w:val="20"/>
        </w:rPr>
        <w:t>complex</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Prostate</w:t>
      </w:r>
      <w:proofErr w:type="spellEnd"/>
      <w:r w:rsidRPr="00035316">
        <w:rPr>
          <w:rFonts w:ascii="Calibri" w:hAnsi="Calibri" w:cs="Calibri"/>
          <w:sz w:val="20"/>
          <w:szCs w:val="20"/>
        </w:rPr>
        <w:t xml:space="preserve"> 2003; 56:131-141.</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9. Jung K, </w:t>
      </w:r>
      <w:proofErr w:type="spellStart"/>
      <w:r w:rsidRPr="00035316">
        <w:rPr>
          <w:rFonts w:ascii="Calibri" w:hAnsi="Calibri" w:cs="Calibri"/>
          <w:sz w:val="20"/>
          <w:szCs w:val="20"/>
        </w:rPr>
        <w:t>Brux</w:t>
      </w:r>
      <w:proofErr w:type="spellEnd"/>
      <w:r w:rsidRPr="00035316">
        <w:rPr>
          <w:rFonts w:ascii="Calibri" w:hAnsi="Calibri" w:cs="Calibri"/>
          <w:sz w:val="20"/>
          <w:szCs w:val="20"/>
        </w:rPr>
        <w:t xml:space="preserve"> B, Lin M, et al. </w:t>
      </w:r>
      <w:proofErr w:type="spellStart"/>
      <w:r w:rsidRPr="00035316">
        <w:rPr>
          <w:rFonts w:ascii="Calibri" w:hAnsi="Calibri" w:cs="Calibri"/>
          <w:sz w:val="20"/>
          <w:szCs w:val="20"/>
        </w:rPr>
        <w:t>Molecular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Form</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of</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Prostate-specific</w:t>
      </w:r>
      <w:proofErr w:type="spellEnd"/>
      <w:r w:rsidRPr="00035316">
        <w:rPr>
          <w:rFonts w:ascii="Calibri" w:hAnsi="Calibri" w:cs="Calibri"/>
          <w:sz w:val="20"/>
          <w:szCs w:val="20"/>
        </w:rPr>
        <w:t xml:space="preserve"> Antigen in </w:t>
      </w:r>
      <w:proofErr w:type="spellStart"/>
      <w:r w:rsidRPr="00035316">
        <w:rPr>
          <w:rFonts w:ascii="Calibri" w:hAnsi="Calibri" w:cs="Calibri"/>
          <w:sz w:val="20"/>
          <w:szCs w:val="20"/>
        </w:rPr>
        <w:t>Malignant</w:t>
      </w:r>
      <w:proofErr w:type="spellEnd"/>
      <w:r w:rsidRPr="00035316">
        <w:rPr>
          <w:rFonts w:ascii="Calibri" w:hAnsi="Calibri" w:cs="Calibri"/>
          <w:sz w:val="20"/>
          <w:szCs w:val="20"/>
        </w:rPr>
        <w:t xml:space="preserve"> and </w:t>
      </w:r>
      <w:proofErr w:type="spellStart"/>
      <w:r w:rsidRPr="00035316">
        <w:rPr>
          <w:rFonts w:ascii="Calibri" w:hAnsi="Calibri" w:cs="Calibri"/>
          <w:sz w:val="20"/>
          <w:szCs w:val="20"/>
        </w:rPr>
        <w:t>Benign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Prostatic</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Tissue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Biochemical</w:t>
      </w:r>
      <w:proofErr w:type="spellEnd"/>
      <w:r w:rsidRPr="00035316">
        <w:rPr>
          <w:rFonts w:ascii="Calibri" w:hAnsi="Calibri" w:cs="Calibri"/>
          <w:sz w:val="20"/>
          <w:szCs w:val="20"/>
        </w:rPr>
        <w:t xml:space="preserve"> and </w:t>
      </w:r>
      <w:proofErr w:type="spellStart"/>
      <w:r w:rsidRPr="00035316">
        <w:rPr>
          <w:rFonts w:ascii="Calibri" w:hAnsi="Calibri" w:cs="Calibri"/>
          <w:sz w:val="20"/>
          <w:szCs w:val="20"/>
        </w:rPr>
        <w:t>Diagnostic</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Implications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Clin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Chen</w:t>
      </w:r>
      <w:proofErr w:type="spellEnd"/>
      <w:r w:rsidRPr="00035316">
        <w:rPr>
          <w:rFonts w:ascii="Calibri" w:hAnsi="Calibri" w:cs="Calibri"/>
          <w:sz w:val="20"/>
          <w:szCs w:val="20"/>
        </w:rPr>
        <w:t>. 2000; 46(1):47-54.</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10. </w:t>
      </w:r>
      <w:proofErr w:type="spellStart"/>
      <w:r w:rsidRPr="00035316">
        <w:rPr>
          <w:rFonts w:ascii="Calibri" w:hAnsi="Calibri" w:cs="Calibri"/>
          <w:sz w:val="20"/>
          <w:szCs w:val="20"/>
        </w:rPr>
        <w:t>Frankel</w:t>
      </w:r>
      <w:proofErr w:type="spellEnd"/>
      <w:r w:rsidRPr="00035316">
        <w:rPr>
          <w:rFonts w:ascii="Calibri" w:hAnsi="Calibri" w:cs="Calibri"/>
          <w:sz w:val="20"/>
          <w:szCs w:val="20"/>
        </w:rPr>
        <w:t xml:space="preserve"> S, Smith GD, </w:t>
      </w:r>
      <w:proofErr w:type="spellStart"/>
      <w:r w:rsidRPr="00035316">
        <w:rPr>
          <w:rFonts w:ascii="Calibri" w:hAnsi="Calibri" w:cs="Calibri"/>
          <w:sz w:val="20"/>
          <w:szCs w:val="20"/>
        </w:rPr>
        <w:t>Donovan</w:t>
      </w:r>
      <w:proofErr w:type="spellEnd"/>
      <w:r w:rsidRPr="00035316">
        <w:rPr>
          <w:rFonts w:ascii="Calibri" w:hAnsi="Calibri" w:cs="Calibri"/>
          <w:sz w:val="20"/>
          <w:szCs w:val="20"/>
        </w:rPr>
        <w:t xml:space="preserve"> J, </w:t>
      </w:r>
      <w:proofErr w:type="spellStart"/>
      <w:r w:rsidRPr="00035316">
        <w:rPr>
          <w:rFonts w:ascii="Calibri" w:hAnsi="Calibri" w:cs="Calibri"/>
          <w:sz w:val="20"/>
          <w:szCs w:val="20"/>
        </w:rPr>
        <w:t>Neal</w:t>
      </w:r>
      <w:proofErr w:type="spellEnd"/>
      <w:r w:rsidRPr="00035316">
        <w:rPr>
          <w:rFonts w:ascii="Calibri" w:hAnsi="Calibri" w:cs="Calibri"/>
          <w:sz w:val="20"/>
          <w:szCs w:val="20"/>
        </w:rPr>
        <w:t xml:space="preserve"> D. </w:t>
      </w:r>
      <w:proofErr w:type="spellStart"/>
      <w:r w:rsidRPr="00035316">
        <w:rPr>
          <w:rFonts w:ascii="Calibri" w:hAnsi="Calibri" w:cs="Calibri"/>
          <w:sz w:val="20"/>
          <w:szCs w:val="20"/>
        </w:rPr>
        <w:t>Screening</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for</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prostate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cancer</w:t>
      </w:r>
      <w:proofErr w:type="spellEnd"/>
      <w:r w:rsidRPr="00035316">
        <w:rPr>
          <w:rFonts w:ascii="Calibri" w:hAnsi="Calibri" w:cs="Calibri"/>
          <w:sz w:val="20"/>
          <w:szCs w:val="20"/>
        </w:rPr>
        <w:t>. Lancet 2003; 361:1122-1128.</w:t>
      </w:r>
    </w:p>
    <w:p w:rsidR="00035316" w:rsidRPr="00035316" w:rsidRDefault="00035316" w:rsidP="00035316">
      <w:pPr>
        <w:pStyle w:val="Normlnweb"/>
        <w:rPr>
          <w:rFonts w:ascii="Calibri" w:hAnsi="Calibri" w:cs="Calibri"/>
          <w:sz w:val="20"/>
          <w:szCs w:val="20"/>
        </w:rPr>
      </w:pPr>
      <w:r w:rsidRPr="00035316">
        <w:rPr>
          <w:rFonts w:ascii="Calibri" w:hAnsi="Calibri" w:cs="Calibri"/>
          <w:sz w:val="20"/>
          <w:szCs w:val="20"/>
        </w:rPr>
        <w:t xml:space="preserve">11. Jung K, </w:t>
      </w:r>
      <w:proofErr w:type="spellStart"/>
      <w:r w:rsidRPr="00035316">
        <w:rPr>
          <w:rFonts w:ascii="Calibri" w:hAnsi="Calibri" w:cs="Calibri"/>
          <w:sz w:val="20"/>
          <w:szCs w:val="20"/>
        </w:rPr>
        <w:t>Klinggr</w:t>
      </w:r>
      <w:proofErr w:type="spellEnd"/>
      <w:r w:rsidRPr="00035316">
        <w:rPr>
          <w:rFonts w:ascii="Calibri" w:hAnsi="Calibri" w:cs="Calibri"/>
          <w:sz w:val="20"/>
          <w:szCs w:val="20"/>
        </w:rPr>
        <w:t xml:space="preserve"> P, </w:t>
      </w:r>
      <w:proofErr w:type="spellStart"/>
      <w:r w:rsidRPr="00035316">
        <w:rPr>
          <w:rFonts w:ascii="Calibri" w:hAnsi="Calibri" w:cs="Calibri"/>
          <w:sz w:val="20"/>
          <w:szCs w:val="20"/>
        </w:rPr>
        <w:t>Brux</w:t>
      </w:r>
      <w:proofErr w:type="spellEnd"/>
      <w:r w:rsidRPr="00035316">
        <w:rPr>
          <w:rFonts w:ascii="Calibri" w:hAnsi="Calibri" w:cs="Calibri"/>
          <w:sz w:val="20"/>
          <w:szCs w:val="20"/>
        </w:rPr>
        <w:t xml:space="preserve"> B, et al. </w:t>
      </w:r>
      <w:proofErr w:type="spellStart"/>
      <w:r w:rsidRPr="00035316">
        <w:rPr>
          <w:rFonts w:ascii="Calibri" w:hAnsi="Calibri" w:cs="Calibri"/>
          <w:sz w:val="20"/>
          <w:szCs w:val="20"/>
        </w:rPr>
        <w:t>Preanalytical</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Determinants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of</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Total</w:t>
      </w:r>
      <w:proofErr w:type="spellEnd"/>
      <w:r w:rsidRPr="00035316">
        <w:rPr>
          <w:rFonts w:ascii="Calibri" w:hAnsi="Calibri" w:cs="Calibri"/>
          <w:sz w:val="20"/>
          <w:szCs w:val="20"/>
        </w:rPr>
        <w:t xml:space="preserve"> and Free </w:t>
      </w:r>
      <w:proofErr w:type="spellStart"/>
      <w:r w:rsidRPr="00035316">
        <w:rPr>
          <w:rFonts w:ascii="Calibri" w:hAnsi="Calibri" w:cs="Calibri"/>
          <w:sz w:val="20"/>
          <w:szCs w:val="20"/>
        </w:rPr>
        <w:t>Prostate-Specific</w:t>
      </w:r>
      <w:proofErr w:type="spellEnd"/>
      <w:r w:rsidRPr="00035316">
        <w:rPr>
          <w:rFonts w:ascii="Calibri" w:hAnsi="Calibri" w:cs="Calibri"/>
          <w:sz w:val="20"/>
          <w:szCs w:val="20"/>
        </w:rPr>
        <w:t xml:space="preserve"> Antigen and </w:t>
      </w:r>
      <w:proofErr w:type="spellStart"/>
      <w:r w:rsidRPr="00035316">
        <w:rPr>
          <w:rFonts w:ascii="Calibri" w:hAnsi="Calibri" w:cs="Calibri"/>
          <w:sz w:val="20"/>
          <w:szCs w:val="20"/>
        </w:rPr>
        <w:t>Their</w:t>
      </w:r>
      <w:proofErr w:type="spellEnd"/>
      <w:r w:rsidRPr="00035316">
        <w:rPr>
          <w:rFonts w:ascii="Calibri" w:hAnsi="Calibri" w:cs="Calibri"/>
          <w:sz w:val="20"/>
          <w:szCs w:val="20"/>
        </w:rPr>
        <w:t xml:space="preserve"> Ratio: </w:t>
      </w:r>
      <w:proofErr w:type="spellStart"/>
      <w:r w:rsidRPr="00035316">
        <w:rPr>
          <w:rFonts w:ascii="Calibri" w:hAnsi="Calibri" w:cs="Calibri"/>
          <w:sz w:val="20"/>
          <w:szCs w:val="20"/>
        </w:rPr>
        <w:t>Blood</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Collection</w:t>
      </w:r>
      <w:proofErr w:type="spellEnd"/>
      <w:r w:rsidRPr="00035316">
        <w:rPr>
          <w:rFonts w:ascii="Calibri" w:hAnsi="Calibri" w:cs="Calibri"/>
          <w:sz w:val="20"/>
          <w:szCs w:val="20"/>
        </w:rPr>
        <w:t xml:space="preserve"> and </w:t>
      </w:r>
      <w:proofErr w:type="spellStart"/>
      <w:r w:rsidRPr="00035316">
        <w:rPr>
          <w:rFonts w:ascii="Calibri" w:hAnsi="Calibri" w:cs="Calibri"/>
          <w:sz w:val="20"/>
          <w:szCs w:val="20"/>
        </w:rPr>
        <w:t>Storage</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Conditions</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Clin</w:t>
      </w:r>
      <w:proofErr w:type="spellEnd"/>
      <w:r w:rsidRPr="00035316">
        <w:rPr>
          <w:rFonts w:ascii="Calibri" w:hAnsi="Calibri" w:cs="Calibri"/>
          <w:sz w:val="20"/>
          <w:szCs w:val="20"/>
        </w:rPr>
        <w:t xml:space="preserve">. </w:t>
      </w:r>
      <w:proofErr w:type="spellStart"/>
      <w:r w:rsidRPr="00035316">
        <w:rPr>
          <w:rFonts w:ascii="Calibri" w:hAnsi="Calibri" w:cs="Calibri"/>
          <w:sz w:val="20"/>
          <w:szCs w:val="20"/>
        </w:rPr>
        <w:t>Chem</w:t>
      </w:r>
      <w:proofErr w:type="spellEnd"/>
      <w:r w:rsidRPr="00035316">
        <w:rPr>
          <w:rFonts w:ascii="Calibri" w:hAnsi="Calibri" w:cs="Calibri"/>
          <w:sz w:val="20"/>
          <w:szCs w:val="20"/>
        </w:rPr>
        <w:t>. 1998; 44: 685-688.</w:t>
      </w:r>
    </w:p>
    <w:p w:rsidR="00BB24C1" w:rsidRPr="00BB24C1" w:rsidRDefault="00BB24C1" w:rsidP="00BB24C1">
      <w:pPr>
        <w:pStyle w:val="Normlnweb"/>
        <w:rPr>
          <w:rFonts w:ascii="Calibri" w:hAnsi="Calibri" w:cs="Calibri"/>
          <w:sz w:val="20"/>
          <w:szCs w:val="20"/>
        </w:rPr>
      </w:pPr>
      <w:r w:rsidRPr="00BB24C1">
        <w:rPr>
          <w:rFonts w:ascii="Calibri" w:hAnsi="Calibri" w:cs="Calibri"/>
          <w:b/>
          <w:bCs/>
          <w:sz w:val="20"/>
          <w:szCs w:val="20"/>
        </w:rPr>
        <w:t>Výrobce:</w:t>
      </w:r>
      <w:r w:rsidRPr="00BB24C1">
        <w:rPr>
          <w:rFonts w:ascii="Calibri" w:hAnsi="Calibri" w:cs="Calibri"/>
          <w:sz w:val="20"/>
          <w:szCs w:val="20"/>
        </w:rPr>
        <w:t xml:space="preserve"> </w:t>
      </w:r>
      <w:proofErr w:type="spellStart"/>
      <w:r w:rsidRPr="00BB24C1">
        <w:rPr>
          <w:rFonts w:ascii="Calibri" w:hAnsi="Calibri" w:cs="Calibri"/>
          <w:sz w:val="20"/>
          <w:szCs w:val="20"/>
        </w:rPr>
        <w:t>Guangzhou</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Wondfo</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Biotech</w:t>
      </w:r>
      <w:proofErr w:type="spellEnd"/>
      <w:r w:rsidRPr="00BB24C1">
        <w:rPr>
          <w:rFonts w:ascii="Calibri" w:hAnsi="Calibri" w:cs="Calibri"/>
          <w:sz w:val="20"/>
          <w:szCs w:val="20"/>
        </w:rPr>
        <w:t xml:space="preserve"> Co., Ltd</w:t>
      </w:r>
    </w:p>
    <w:p w:rsidR="00BB24C1" w:rsidRPr="00BB24C1" w:rsidRDefault="00BB24C1" w:rsidP="00BB24C1">
      <w:pPr>
        <w:pStyle w:val="Normlnweb"/>
        <w:rPr>
          <w:rFonts w:ascii="Calibri" w:hAnsi="Calibri" w:cs="Calibri"/>
          <w:sz w:val="20"/>
          <w:szCs w:val="20"/>
        </w:rPr>
      </w:pPr>
      <w:r w:rsidRPr="00BB24C1">
        <w:rPr>
          <w:rFonts w:ascii="Calibri" w:hAnsi="Calibri" w:cs="Calibri"/>
          <w:sz w:val="20"/>
          <w:szCs w:val="20"/>
        </w:rPr>
        <w:t xml:space="preserve">Č. 8 </w:t>
      </w:r>
      <w:proofErr w:type="spellStart"/>
      <w:r w:rsidRPr="00BB24C1">
        <w:rPr>
          <w:rFonts w:ascii="Calibri" w:hAnsi="Calibri" w:cs="Calibri"/>
          <w:sz w:val="20"/>
          <w:szCs w:val="20"/>
        </w:rPr>
        <w:t>Lizhishan</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Road</w:t>
      </w:r>
      <w:proofErr w:type="spellEnd"/>
      <w:r w:rsidRPr="00BB24C1">
        <w:rPr>
          <w:rFonts w:ascii="Calibri" w:hAnsi="Calibri" w:cs="Calibri"/>
          <w:sz w:val="20"/>
          <w:szCs w:val="20"/>
        </w:rPr>
        <w:t xml:space="preserve">, Science City, </w:t>
      </w:r>
      <w:proofErr w:type="spellStart"/>
      <w:r w:rsidRPr="00BB24C1">
        <w:rPr>
          <w:rFonts w:ascii="Calibri" w:hAnsi="Calibri" w:cs="Calibri"/>
          <w:sz w:val="20"/>
          <w:szCs w:val="20"/>
        </w:rPr>
        <w:t>Luogang</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District</w:t>
      </w:r>
      <w:proofErr w:type="spellEnd"/>
      <w:r w:rsidRPr="00BB24C1">
        <w:rPr>
          <w:rFonts w:ascii="Calibri" w:hAnsi="Calibri" w:cs="Calibri"/>
          <w:sz w:val="20"/>
          <w:szCs w:val="20"/>
        </w:rPr>
        <w:t xml:space="preserve">, 510663, </w:t>
      </w:r>
      <w:proofErr w:type="spellStart"/>
      <w:r w:rsidRPr="00BB24C1">
        <w:rPr>
          <w:rFonts w:ascii="Calibri" w:hAnsi="Calibri" w:cs="Calibri"/>
          <w:sz w:val="20"/>
          <w:szCs w:val="20"/>
        </w:rPr>
        <w:t>Guangzhou</w:t>
      </w:r>
      <w:proofErr w:type="spellEnd"/>
      <w:r w:rsidRPr="00BB24C1">
        <w:rPr>
          <w:rFonts w:ascii="Calibri" w:hAnsi="Calibri" w:cs="Calibri"/>
          <w:sz w:val="20"/>
          <w:szCs w:val="20"/>
        </w:rPr>
        <w:t>, P.R. Čína</w:t>
      </w:r>
    </w:p>
    <w:p w:rsidR="00BB24C1" w:rsidRPr="00BB24C1" w:rsidRDefault="00BB24C1" w:rsidP="00BB24C1">
      <w:pPr>
        <w:pStyle w:val="Normlnweb"/>
        <w:rPr>
          <w:rFonts w:ascii="Calibri" w:hAnsi="Calibri" w:cs="Calibri"/>
          <w:sz w:val="20"/>
          <w:szCs w:val="20"/>
        </w:rPr>
      </w:pPr>
      <w:r w:rsidRPr="00BB24C1">
        <w:rPr>
          <w:rFonts w:ascii="Calibri" w:hAnsi="Calibri" w:cs="Calibri"/>
          <w:b/>
          <w:bCs/>
          <w:sz w:val="20"/>
          <w:szCs w:val="20"/>
        </w:rPr>
        <w:t>EC REP:</w:t>
      </w:r>
      <w:r w:rsidRPr="00BB24C1">
        <w:rPr>
          <w:rFonts w:ascii="Calibri" w:hAnsi="Calibri" w:cs="Calibri"/>
          <w:sz w:val="20"/>
          <w:szCs w:val="20"/>
        </w:rPr>
        <w:t xml:space="preserve"> </w:t>
      </w:r>
      <w:proofErr w:type="spellStart"/>
      <w:r w:rsidRPr="00BB24C1">
        <w:rPr>
          <w:rFonts w:ascii="Calibri" w:hAnsi="Calibri" w:cs="Calibri"/>
          <w:sz w:val="20"/>
          <w:szCs w:val="20"/>
        </w:rPr>
        <w:t>Qarad</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b.v.b.a</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Cipalstraat</w:t>
      </w:r>
      <w:proofErr w:type="spellEnd"/>
      <w:r w:rsidRPr="00BB24C1">
        <w:rPr>
          <w:rFonts w:ascii="Calibri" w:hAnsi="Calibri" w:cs="Calibri"/>
          <w:sz w:val="20"/>
          <w:szCs w:val="20"/>
        </w:rPr>
        <w:t xml:space="preserve"> 3</w:t>
      </w:r>
    </w:p>
    <w:p w:rsidR="00BB24C1" w:rsidRDefault="00BB24C1" w:rsidP="00BB24C1">
      <w:pPr>
        <w:pStyle w:val="Normlnweb"/>
        <w:rPr>
          <w:rFonts w:ascii="Calibri" w:hAnsi="Calibri" w:cs="Calibri"/>
          <w:sz w:val="20"/>
          <w:szCs w:val="20"/>
        </w:rPr>
      </w:pPr>
      <w:r w:rsidRPr="00BB24C1">
        <w:rPr>
          <w:rFonts w:ascii="Calibri" w:hAnsi="Calibri" w:cs="Calibri"/>
          <w:sz w:val="20"/>
          <w:szCs w:val="20"/>
        </w:rPr>
        <w:t xml:space="preserve">B-2440 </w:t>
      </w:r>
      <w:proofErr w:type="spellStart"/>
      <w:r w:rsidRPr="00BB24C1">
        <w:rPr>
          <w:rFonts w:ascii="Calibri" w:hAnsi="Calibri" w:cs="Calibri"/>
          <w:sz w:val="20"/>
          <w:szCs w:val="20"/>
        </w:rPr>
        <w:t>Geel</w:t>
      </w:r>
      <w:proofErr w:type="spellEnd"/>
      <w:r w:rsidRPr="00BB24C1">
        <w:rPr>
          <w:rFonts w:ascii="Calibri" w:hAnsi="Calibri" w:cs="Calibri"/>
          <w:sz w:val="20"/>
          <w:szCs w:val="20"/>
        </w:rPr>
        <w:t>, Belgie</w:t>
      </w:r>
    </w:p>
    <w:p w:rsidR="00050B33" w:rsidRDefault="00050B33" w:rsidP="00BB24C1">
      <w:pPr>
        <w:pStyle w:val="Normlnweb"/>
        <w:rPr>
          <w:rFonts w:ascii="Calibri" w:hAnsi="Calibri" w:cs="Calibri"/>
          <w:sz w:val="20"/>
          <w:szCs w:val="20"/>
        </w:rPr>
      </w:pPr>
      <w:r w:rsidRPr="00050B33">
        <w:rPr>
          <w:rFonts w:ascii="Calibri" w:hAnsi="Calibri" w:cs="Calibri"/>
          <w:b/>
          <w:bCs/>
          <w:sz w:val="20"/>
          <w:szCs w:val="20"/>
        </w:rPr>
        <w:t>Dovozce do ČR</w:t>
      </w:r>
      <w:r>
        <w:rPr>
          <w:rFonts w:ascii="Calibri" w:hAnsi="Calibri" w:cs="Calibri"/>
          <w:sz w:val="20"/>
          <w:szCs w:val="20"/>
        </w:rPr>
        <w:t xml:space="preserve">: MEDICALIS – Mgr. Petr </w:t>
      </w:r>
      <w:proofErr w:type="spellStart"/>
      <w:r>
        <w:rPr>
          <w:rFonts w:ascii="Calibri" w:hAnsi="Calibri" w:cs="Calibri"/>
          <w:sz w:val="20"/>
          <w:szCs w:val="20"/>
        </w:rPr>
        <w:t>Oravski</w:t>
      </w:r>
      <w:proofErr w:type="spellEnd"/>
      <w:r>
        <w:rPr>
          <w:rFonts w:ascii="Calibri" w:hAnsi="Calibri" w:cs="Calibri"/>
          <w:sz w:val="20"/>
          <w:szCs w:val="20"/>
        </w:rPr>
        <w:t>, U lesa 772/26, Karviná 4, email: obchod@medicalis.cz</w:t>
      </w:r>
    </w:p>
    <w:p w:rsidR="00050B33" w:rsidRDefault="00050B33" w:rsidP="00BB24C1">
      <w:pPr>
        <w:pStyle w:val="Normlnweb"/>
        <w:rPr>
          <w:rFonts w:ascii="Calibri" w:hAnsi="Calibri" w:cs="Calibri"/>
          <w:sz w:val="20"/>
          <w:szCs w:val="20"/>
        </w:rPr>
      </w:pPr>
    </w:p>
    <w:p w:rsidR="00BB24C1" w:rsidRPr="00050B33" w:rsidRDefault="00BB24C1" w:rsidP="00BB24C1">
      <w:pPr>
        <w:pStyle w:val="Normlnweb"/>
        <w:rPr>
          <w:rFonts w:ascii="Calibri" w:hAnsi="Calibri" w:cs="Calibri"/>
          <w:b/>
          <w:bCs/>
          <w:sz w:val="20"/>
          <w:szCs w:val="20"/>
        </w:rPr>
      </w:pPr>
      <w:r w:rsidRPr="00050B33">
        <w:rPr>
          <w:rFonts w:ascii="Calibri" w:hAnsi="Calibri" w:cs="Calibri"/>
          <w:b/>
          <w:bCs/>
          <w:sz w:val="20"/>
          <w:szCs w:val="20"/>
        </w:rPr>
        <w:t>Symboly</w:t>
      </w:r>
    </w:p>
    <w:p w:rsidR="00050B33" w:rsidRDefault="00BB24C1"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58240" behindDoc="0" locked="0" layoutInCell="1" allowOverlap="1">
            <wp:simplePos x="0" y="0"/>
            <wp:positionH relativeFrom="column">
              <wp:posOffset>3030</wp:posOffset>
            </wp:positionH>
            <wp:positionV relativeFrom="paragraph">
              <wp:posOffset>69617</wp:posOffset>
            </wp:positionV>
            <wp:extent cx="289367" cy="1446835"/>
            <wp:effectExtent l="0" t="0" r="317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ímek obrazovky 2019-09-24 v 10.59.25.png"/>
                    <pic:cNvPicPr/>
                  </pic:nvPicPr>
                  <pic:blipFill>
                    <a:blip r:embed="rId5">
                      <a:extLst>
                        <a:ext uri="{28A0092B-C50C-407E-A947-70E740481C1C}">
                          <a14:useLocalDpi xmlns:a14="http://schemas.microsoft.com/office/drawing/2010/main" val="0"/>
                        </a:ext>
                      </a:extLst>
                    </a:blip>
                    <a:stretch>
                      <a:fillRect/>
                    </a:stretch>
                  </pic:blipFill>
                  <pic:spPr>
                    <a:xfrm>
                      <a:off x="0" y="0"/>
                      <a:ext cx="319913" cy="1599563"/>
                    </a:xfrm>
                    <a:prstGeom prst="rect">
                      <a:avLst/>
                    </a:prstGeom>
                  </pic:spPr>
                </pic:pic>
              </a:graphicData>
            </a:graphic>
            <wp14:sizeRelH relativeFrom="margin">
              <wp14:pctWidth>0</wp14:pctWidth>
            </wp14:sizeRelH>
            <wp14:sizeRelV relativeFrom="margin">
              <wp14:pctHeight>0</wp14:pctHeight>
            </wp14:sizeRelV>
          </wp:anchor>
        </w:drawing>
      </w:r>
      <w:r w:rsidR="00050B33">
        <w:rPr>
          <w:rFonts w:ascii="Calibri" w:hAnsi="Calibri" w:cs="Calibri"/>
          <w:sz w:val="20"/>
          <w:szCs w:val="20"/>
        </w:rPr>
        <w:t xml:space="preserve">           Prostudujte návod</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Pro in-vitro diagnostické použití</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Skladovací </w:t>
      </w:r>
      <w:proofErr w:type="spellStart"/>
      <w:r>
        <w:rPr>
          <w:rFonts w:ascii="Calibri" w:hAnsi="Calibri" w:cs="Calibri"/>
          <w:sz w:val="20"/>
          <w:szCs w:val="20"/>
        </w:rPr>
        <w:t>teolota</w:t>
      </w:r>
      <w:proofErr w:type="spellEnd"/>
      <w:r>
        <w:rPr>
          <w:rFonts w:ascii="Calibri" w:hAnsi="Calibri" w:cs="Calibri"/>
          <w:sz w:val="20"/>
          <w:szCs w:val="20"/>
        </w:rPr>
        <w:t xml:space="preserve"> 4-30 st Celsia</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Chraňte před slunečním světlem</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Výrobce</w:t>
      </w:r>
    </w:p>
    <w:p w:rsidR="00050B33" w:rsidRDefault="00050B33"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59264" behindDoc="0" locked="0" layoutInCell="1" allowOverlap="1">
            <wp:simplePos x="0" y="0"/>
            <wp:positionH relativeFrom="column">
              <wp:posOffset>-635</wp:posOffset>
            </wp:positionH>
            <wp:positionV relativeFrom="paragraph">
              <wp:posOffset>25633</wp:posOffset>
            </wp:positionV>
            <wp:extent cx="292338" cy="1192193"/>
            <wp:effectExtent l="0" t="0" r="0" b="190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ímek obrazovky 2019-09-24 v 11.00.04.png"/>
                    <pic:cNvPicPr/>
                  </pic:nvPicPr>
                  <pic:blipFill>
                    <a:blip r:embed="rId6">
                      <a:extLst>
                        <a:ext uri="{28A0092B-C50C-407E-A947-70E740481C1C}">
                          <a14:useLocalDpi xmlns:a14="http://schemas.microsoft.com/office/drawing/2010/main" val="0"/>
                        </a:ext>
                      </a:extLst>
                    </a:blip>
                    <a:stretch>
                      <a:fillRect/>
                    </a:stretch>
                  </pic:blipFill>
                  <pic:spPr>
                    <a:xfrm flipH="1">
                      <a:off x="0" y="0"/>
                      <a:ext cx="292338" cy="1192193"/>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0"/>
          <w:szCs w:val="20"/>
        </w:rPr>
        <w:t xml:space="preserve">           Testy v sadě</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Datum </w:t>
      </w:r>
      <w:proofErr w:type="spellStart"/>
      <w:r>
        <w:rPr>
          <w:rFonts w:ascii="Calibri" w:hAnsi="Calibri" w:cs="Calibri"/>
          <w:sz w:val="20"/>
          <w:szCs w:val="20"/>
        </w:rPr>
        <w:t>expirace</w:t>
      </w:r>
      <w:proofErr w:type="spellEnd"/>
    </w:p>
    <w:p w:rsidR="00050B33" w:rsidRDefault="00050B33" w:rsidP="00BB24C1">
      <w:pPr>
        <w:pStyle w:val="Normlnweb"/>
        <w:rPr>
          <w:rFonts w:ascii="Calibri" w:hAnsi="Calibri" w:cs="Calibri"/>
          <w:sz w:val="20"/>
          <w:szCs w:val="20"/>
        </w:rPr>
      </w:pPr>
      <w:r>
        <w:rPr>
          <w:rFonts w:ascii="Calibri" w:hAnsi="Calibri" w:cs="Calibri"/>
          <w:sz w:val="20"/>
          <w:szCs w:val="20"/>
        </w:rPr>
        <w:t xml:space="preserve">           Číslo šarže</w:t>
      </w:r>
    </w:p>
    <w:p w:rsidR="00050B33" w:rsidRDefault="00050B33"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60288" behindDoc="0" locked="0" layoutInCell="1" allowOverlap="1">
            <wp:simplePos x="0" y="0"/>
            <wp:positionH relativeFrom="column">
              <wp:posOffset>3029</wp:posOffset>
            </wp:positionH>
            <wp:positionV relativeFrom="paragraph">
              <wp:posOffset>248646</wp:posOffset>
            </wp:positionV>
            <wp:extent cx="292485" cy="1238491"/>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nímek obrazovky 2019-09-24 v 11.00.13.png"/>
                    <pic:cNvPicPr/>
                  </pic:nvPicPr>
                  <pic:blipFill>
                    <a:blip r:embed="rId7">
                      <a:extLst>
                        <a:ext uri="{28A0092B-C50C-407E-A947-70E740481C1C}">
                          <a14:useLocalDpi xmlns:a14="http://schemas.microsoft.com/office/drawing/2010/main" val="0"/>
                        </a:ext>
                      </a:extLst>
                    </a:blip>
                    <a:stretch>
                      <a:fillRect/>
                    </a:stretch>
                  </pic:blipFill>
                  <pic:spPr>
                    <a:xfrm>
                      <a:off x="0" y="0"/>
                      <a:ext cx="303597" cy="1285542"/>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0"/>
          <w:szCs w:val="20"/>
        </w:rPr>
        <w:t xml:space="preserve">           Uchovejte v suchu</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Výrobce</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Nepoužívejte opakovaně</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Katalogové číslo</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Zástupce v EU</w:t>
      </w:r>
    </w:p>
    <w:p w:rsidR="00C53E8B" w:rsidRDefault="00035316" w:rsidP="00994AD8">
      <w:pPr>
        <w:jc w:val="center"/>
      </w:pPr>
      <w:bookmarkStart w:id="0" w:name="_GoBack"/>
      <w:bookmarkEnd w:id="0"/>
    </w:p>
    <w:sectPr w:rsidR="00C53E8B" w:rsidSect="00982FF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0F15A8"/>
    <w:multiLevelType w:val="hybridMultilevel"/>
    <w:tmpl w:val="0032F9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AD8"/>
    <w:rsid w:val="00035316"/>
    <w:rsid w:val="00050B33"/>
    <w:rsid w:val="00485D86"/>
    <w:rsid w:val="005413B5"/>
    <w:rsid w:val="006C7994"/>
    <w:rsid w:val="00755805"/>
    <w:rsid w:val="0092349C"/>
    <w:rsid w:val="009761FA"/>
    <w:rsid w:val="00982FFE"/>
    <w:rsid w:val="00994AD8"/>
    <w:rsid w:val="00BB24C1"/>
    <w:rsid w:val="00BC3402"/>
    <w:rsid w:val="00F632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3533"/>
  <w15:chartTrackingRefBased/>
  <w15:docId w15:val="{215702C0-FE47-EC42-A4D8-3E323F79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994AD8"/>
    <w:pPr>
      <w:spacing w:before="100" w:beforeAutospacing="1" w:after="100" w:afterAutospacing="1"/>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95605">
      <w:bodyDiv w:val="1"/>
      <w:marLeft w:val="0"/>
      <w:marRight w:val="0"/>
      <w:marTop w:val="0"/>
      <w:marBottom w:val="0"/>
      <w:divBdr>
        <w:top w:val="none" w:sz="0" w:space="0" w:color="auto"/>
        <w:left w:val="none" w:sz="0" w:space="0" w:color="auto"/>
        <w:bottom w:val="none" w:sz="0" w:space="0" w:color="auto"/>
        <w:right w:val="none" w:sz="0" w:space="0" w:color="auto"/>
      </w:divBdr>
      <w:divsChild>
        <w:div w:id="597909591">
          <w:marLeft w:val="0"/>
          <w:marRight w:val="0"/>
          <w:marTop w:val="0"/>
          <w:marBottom w:val="0"/>
          <w:divBdr>
            <w:top w:val="none" w:sz="0" w:space="0" w:color="auto"/>
            <w:left w:val="none" w:sz="0" w:space="0" w:color="auto"/>
            <w:bottom w:val="none" w:sz="0" w:space="0" w:color="auto"/>
            <w:right w:val="none" w:sz="0" w:space="0" w:color="auto"/>
          </w:divBdr>
          <w:divsChild>
            <w:div w:id="239217705">
              <w:marLeft w:val="0"/>
              <w:marRight w:val="0"/>
              <w:marTop w:val="0"/>
              <w:marBottom w:val="0"/>
              <w:divBdr>
                <w:top w:val="none" w:sz="0" w:space="0" w:color="auto"/>
                <w:left w:val="none" w:sz="0" w:space="0" w:color="auto"/>
                <w:bottom w:val="none" w:sz="0" w:space="0" w:color="auto"/>
                <w:right w:val="none" w:sz="0" w:space="0" w:color="auto"/>
              </w:divBdr>
              <w:divsChild>
                <w:div w:id="66350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582314">
      <w:bodyDiv w:val="1"/>
      <w:marLeft w:val="0"/>
      <w:marRight w:val="0"/>
      <w:marTop w:val="0"/>
      <w:marBottom w:val="0"/>
      <w:divBdr>
        <w:top w:val="none" w:sz="0" w:space="0" w:color="auto"/>
        <w:left w:val="none" w:sz="0" w:space="0" w:color="auto"/>
        <w:bottom w:val="none" w:sz="0" w:space="0" w:color="auto"/>
        <w:right w:val="none" w:sz="0" w:space="0" w:color="auto"/>
      </w:divBdr>
      <w:divsChild>
        <w:div w:id="1894998203">
          <w:marLeft w:val="0"/>
          <w:marRight w:val="0"/>
          <w:marTop w:val="0"/>
          <w:marBottom w:val="0"/>
          <w:divBdr>
            <w:top w:val="none" w:sz="0" w:space="0" w:color="auto"/>
            <w:left w:val="none" w:sz="0" w:space="0" w:color="auto"/>
            <w:bottom w:val="none" w:sz="0" w:space="0" w:color="auto"/>
            <w:right w:val="none" w:sz="0" w:space="0" w:color="auto"/>
          </w:divBdr>
          <w:divsChild>
            <w:div w:id="584923139">
              <w:marLeft w:val="0"/>
              <w:marRight w:val="0"/>
              <w:marTop w:val="0"/>
              <w:marBottom w:val="0"/>
              <w:divBdr>
                <w:top w:val="none" w:sz="0" w:space="0" w:color="auto"/>
                <w:left w:val="none" w:sz="0" w:space="0" w:color="auto"/>
                <w:bottom w:val="none" w:sz="0" w:space="0" w:color="auto"/>
                <w:right w:val="none" w:sz="0" w:space="0" w:color="auto"/>
              </w:divBdr>
              <w:divsChild>
                <w:div w:id="1441991421">
                  <w:marLeft w:val="0"/>
                  <w:marRight w:val="0"/>
                  <w:marTop w:val="0"/>
                  <w:marBottom w:val="0"/>
                  <w:divBdr>
                    <w:top w:val="none" w:sz="0" w:space="0" w:color="auto"/>
                    <w:left w:val="none" w:sz="0" w:space="0" w:color="auto"/>
                    <w:bottom w:val="none" w:sz="0" w:space="0" w:color="auto"/>
                    <w:right w:val="none" w:sz="0" w:space="0" w:color="auto"/>
                  </w:divBdr>
                  <w:divsChild>
                    <w:div w:id="128380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10364">
      <w:bodyDiv w:val="1"/>
      <w:marLeft w:val="0"/>
      <w:marRight w:val="0"/>
      <w:marTop w:val="0"/>
      <w:marBottom w:val="0"/>
      <w:divBdr>
        <w:top w:val="none" w:sz="0" w:space="0" w:color="auto"/>
        <w:left w:val="none" w:sz="0" w:space="0" w:color="auto"/>
        <w:bottom w:val="none" w:sz="0" w:space="0" w:color="auto"/>
        <w:right w:val="none" w:sz="0" w:space="0" w:color="auto"/>
      </w:divBdr>
      <w:divsChild>
        <w:div w:id="1932201628">
          <w:marLeft w:val="0"/>
          <w:marRight w:val="0"/>
          <w:marTop w:val="0"/>
          <w:marBottom w:val="0"/>
          <w:divBdr>
            <w:top w:val="none" w:sz="0" w:space="0" w:color="auto"/>
            <w:left w:val="none" w:sz="0" w:space="0" w:color="auto"/>
            <w:bottom w:val="none" w:sz="0" w:space="0" w:color="auto"/>
            <w:right w:val="none" w:sz="0" w:space="0" w:color="auto"/>
          </w:divBdr>
          <w:divsChild>
            <w:div w:id="438570782">
              <w:marLeft w:val="0"/>
              <w:marRight w:val="0"/>
              <w:marTop w:val="0"/>
              <w:marBottom w:val="0"/>
              <w:divBdr>
                <w:top w:val="none" w:sz="0" w:space="0" w:color="auto"/>
                <w:left w:val="none" w:sz="0" w:space="0" w:color="auto"/>
                <w:bottom w:val="none" w:sz="0" w:space="0" w:color="auto"/>
                <w:right w:val="none" w:sz="0" w:space="0" w:color="auto"/>
              </w:divBdr>
              <w:divsChild>
                <w:div w:id="255478283">
                  <w:marLeft w:val="0"/>
                  <w:marRight w:val="0"/>
                  <w:marTop w:val="0"/>
                  <w:marBottom w:val="0"/>
                  <w:divBdr>
                    <w:top w:val="none" w:sz="0" w:space="0" w:color="auto"/>
                    <w:left w:val="none" w:sz="0" w:space="0" w:color="auto"/>
                    <w:bottom w:val="none" w:sz="0" w:space="0" w:color="auto"/>
                    <w:right w:val="none" w:sz="0" w:space="0" w:color="auto"/>
                  </w:divBdr>
                  <w:divsChild>
                    <w:div w:id="25070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22938">
      <w:bodyDiv w:val="1"/>
      <w:marLeft w:val="0"/>
      <w:marRight w:val="0"/>
      <w:marTop w:val="0"/>
      <w:marBottom w:val="0"/>
      <w:divBdr>
        <w:top w:val="none" w:sz="0" w:space="0" w:color="auto"/>
        <w:left w:val="none" w:sz="0" w:space="0" w:color="auto"/>
        <w:bottom w:val="none" w:sz="0" w:space="0" w:color="auto"/>
        <w:right w:val="none" w:sz="0" w:space="0" w:color="auto"/>
      </w:divBdr>
      <w:divsChild>
        <w:div w:id="180167193">
          <w:marLeft w:val="0"/>
          <w:marRight w:val="0"/>
          <w:marTop w:val="0"/>
          <w:marBottom w:val="0"/>
          <w:divBdr>
            <w:top w:val="none" w:sz="0" w:space="0" w:color="auto"/>
            <w:left w:val="none" w:sz="0" w:space="0" w:color="auto"/>
            <w:bottom w:val="none" w:sz="0" w:space="0" w:color="auto"/>
            <w:right w:val="none" w:sz="0" w:space="0" w:color="auto"/>
          </w:divBdr>
          <w:divsChild>
            <w:div w:id="1697998979">
              <w:marLeft w:val="0"/>
              <w:marRight w:val="0"/>
              <w:marTop w:val="0"/>
              <w:marBottom w:val="0"/>
              <w:divBdr>
                <w:top w:val="none" w:sz="0" w:space="0" w:color="auto"/>
                <w:left w:val="none" w:sz="0" w:space="0" w:color="auto"/>
                <w:bottom w:val="none" w:sz="0" w:space="0" w:color="auto"/>
                <w:right w:val="none" w:sz="0" w:space="0" w:color="auto"/>
              </w:divBdr>
              <w:divsChild>
                <w:div w:id="19852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586633">
      <w:bodyDiv w:val="1"/>
      <w:marLeft w:val="0"/>
      <w:marRight w:val="0"/>
      <w:marTop w:val="0"/>
      <w:marBottom w:val="0"/>
      <w:divBdr>
        <w:top w:val="none" w:sz="0" w:space="0" w:color="auto"/>
        <w:left w:val="none" w:sz="0" w:space="0" w:color="auto"/>
        <w:bottom w:val="none" w:sz="0" w:space="0" w:color="auto"/>
        <w:right w:val="none" w:sz="0" w:space="0" w:color="auto"/>
      </w:divBdr>
      <w:divsChild>
        <w:div w:id="157503165">
          <w:marLeft w:val="0"/>
          <w:marRight w:val="0"/>
          <w:marTop w:val="0"/>
          <w:marBottom w:val="0"/>
          <w:divBdr>
            <w:top w:val="none" w:sz="0" w:space="0" w:color="auto"/>
            <w:left w:val="none" w:sz="0" w:space="0" w:color="auto"/>
            <w:bottom w:val="none" w:sz="0" w:space="0" w:color="auto"/>
            <w:right w:val="none" w:sz="0" w:space="0" w:color="auto"/>
          </w:divBdr>
          <w:divsChild>
            <w:div w:id="876504461">
              <w:marLeft w:val="0"/>
              <w:marRight w:val="0"/>
              <w:marTop w:val="0"/>
              <w:marBottom w:val="0"/>
              <w:divBdr>
                <w:top w:val="none" w:sz="0" w:space="0" w:color="auto"/>
                <w:left w:val="none" w:sz="0" w:space="0" w:color="auto"/>
                <w:bottom w:val="none" w:sz="0" w:space="0" w:color="auto"/>
                <w:right w:val="none" w:sz="0" w:space="0" w:color="auto"/>
              </w:divBdr>
              <w:divsChild>
                <w:div w:id="1869827546">
                  <w:marLeft w:val="0"/>
                  <w:marRight w:val="0"/>
                  <w:marTop w:val="0"/>
                  <w:marBottom w:val="0"/>
                  <w:divBdr>
                    <w:top w:val="none" w:sz="0" w:space="0" w:color="auto"/>
                    <w:left w:val="none" w:sz="0" w:space="0" w:color="auto"/>
                    <w:bottom w:val="none" w:sz="0" w:space="0" w:color="auto"/>
                    <w:right w:val="none" w:sz="0" w:space="0" w:color="auto"/>
                  </w:divBdr>
                  <w:divsChild>
                    <w:div w:id="152282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792724">
      <w:bodyDiv w:val="1"/>
      <w:marLeft w:val="0"/>
      <w:marRight w:val="0"/>
      <w:marTop w:val="0"/>
      <w:marBottom w:val="0"/>
      <w:divBdr>
        <w:top w:val="none" w:sz="0" w:space="0" w:color="auto"/>
        <w:left w:val="none" w:sz="0" w:space="0" w:color="auto"/>
        <w:bottom w:val="none" w:sz="0" w:space="0" w:color="auto"/>
        <w:right w:val="none" w:sz="0" w:space="0" w:color="auto"/>
      </w:divBdr>
      <w:divsChild>
        <w:div w:id="973219945">
          <w:marLeft w:val="0"/>
          <w:marRight w:val="0"/>
          <w:marTop w:val="0"/>
          <w:marBottom w:val="0"/>
          <w:divBdr>
            <w:top w:val="none" w:sz="0" w:space="0" w:color="auto"/>
            <w:left w:val="none" w:sz="0" w:space="0" w:color="auto"/>
            <w:bottom w:val="none" w:sz="0" w:space="0" w:color="auto"/>
            <w:right w:val="none" w:sz="0" w:space="0" w:color="auto"/>
          </w:divBdr>
          <w:divsChild>
            <w:div w:id="1478492365">
              <w:marLeft w:val="0"/>
              <w:marRight w:val="0"/>
              <w:marTop w:val="0"/>
              <w:marBottom w:val="0"/>
              <w:divBdr>
                <w:top w:val="none" w:sz="0" w:space="0" w:color="auto"/>
                <w:left w:val="none" w:sz="0" w:space="0" w:color="auto"/>
                <w:bottom w:val="none" w:sz="0" w:space="0" w:color="auto"/>
                <w:right w:val="none" w:sz="0" w:space="0" w:color="auto"/>
              </w:divBdr>
              <w:divsChild>
                <w:div w:id="64107269">
                  <w:marLeft w:val="0"/>
                  <w:marRight w:val="0"/>
                  <w:marTop w:val="0"/>
                  <w:marBottom w:val="0"/>
                  <w:divBdr>
                    <w:top w:val="none" w:sz="0" w:space="0" w:color="auto"/>
                    <w:left w:val="none" w:sz="0" w:space="0" w:color="auto"/>
                    <w:bottom w:val="none" w:sz="0" w:space="0" w:color="auto"/>
                    <w:right w:val="none" w:sz="0" w:space="0" w:color="auto"/>
                  </w:divBdr>
                  <w:divsChild>
                    <w:div w:id="146770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291594">
      <w:bodyDiv w:val="1"/>
      <w:marLeft w:val="0"/>
      <w:marRight w:val="0"/>
      <w:marTop w:val="0"/>
      <w:marBottom w:val="0"/>
      <w:divBdr>
        <w:top w:val="none" w:sz="0" w:space="0" w:color="auto"/>
        <w:left w:val="none" w:sz="0" w:space="0" w:color="auto"/>
        <w:bottom w:val="none" w:sz="0" w:space="0" w:color="auto"/>
        <w:right w:val="none" w:sz="0" w:space="0" w:color="auto"/>
      </w:divBdr>
      <w:divsChild>
        <w:div w:id="390931725">
          <w:marLeft w:val="0"/>
          <w:marRight w:val="0"/>
          <w:marTop w:val="0"/>
          <w:marBottom w:val="0"/>
          <w:divBdr>
            <w:top w:val="none" w:sz="0" w:space="0" w:color="auto"/>
            <w:left w:val="none" w:sz="0" w:space="0" w:color="auto"/>
            <w:bottom w:val="none" w:sz="0" w:space="0" w:color="auto"/>
            <w:right w:val="none" w:sz="0" w:space="0" w:color="auto"/>
          </w:divBdr>
          <w:divsChild>
            <w:div w:id="493181782">
              <w:marLeft w:val="0"/>
              <w:marRight w:val="0"/>
              <w:marTop w:val="0"/>
              <w:marBottom w:val="0"/>
              <w:divBdr>
                <w:top w:val="none" w:sz="0" w:space="0" w:color="auto"/>
                <w:left w:val="none" w:sz="0" w:space="0" w:color="auto"/>
                <w:bottom w:val="none" w:sz="0" w:space="0" w:color="auto"/>
                <w:right w:val="none" w:sz="0" w:space="0" w:color="auto"/>
              </w:divBdr>
              <w:divsChild>
                <w:div w:id="682977668">
                  <w:marLeft w:val="0"/>
                  <w:marRight w:val="0"/>
                  <w:marTop w:val="0"/>
                  <w:marBottom w:val="0"/>
                  <w:divBdr>
                    <w:top w:val="none" w:sz="0" w:space="0" w:color="auto"/>
                    <w:left w:val="none" w:sz="0" w:space="0" w:color="auto"/>
                    <w:bottom w:val="none" w:sz="0" w:space="0" w:color="auto"/>
                    <w:right w:val="none" w:sz="0" w:space="0" w:color="auto"/>
                  </w:divBdr>
                  <w:divsChild>
                    <w:div w:id="16222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1552</Words>
  <Characters>9159</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oravski</dc:creator>
  <cp:keywords/>
  <dc:description/>
  <cp:lastModifiedBy>petr oravski</cp:lastModifiedBy>
  <cp:revision>3</cp:revision>
  <cp:lastPrinted>2019-09-24T09:07:00Z</cp:lastPrinted>
  <dcterms:created xsi:type="dcterms:W3CDTF">2019-09-24T15:12:00Z</dcterms:created>
  <dcterms:modified xsi:type="dcterms:W3CDTF">2019-09-24T15:36:00Z</dcterms:modified>
</cp:coreProperties>
</file>